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 VALPARAÍSO</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735291981"/>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qwis0ixy62w">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3qwis0ixy62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_heading=h.3qwis0ixy62w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kzbhuhql4p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1kzbhuhql4p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_heading=h.1kzbhuhql4p9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duy1xd929v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pduy1xd929v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_heading=h.pduy1xd929vs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u662yastsm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ou662yastsm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_heading=h.ou662yastsmv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6a63zb9cu7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96a63zb9cu7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_heading=h.96a63zb9cu7i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mouzovdalt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4mouzovdalt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_heading=h.4mouzovdalte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usgkgp488z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iusgkgp488z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_heading=h.iusgkgp488z4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7yczbts025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l7yczbts025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_heading=h.l7yczbts025z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zndnonqumi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czndnonqumi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_heading=h.czndnonqumid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b4w8rnqa39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ib4w8rnqa39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_heading=h.ib4w8rnqa390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s15n57an7d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ms15n57an7d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_heading=h.ms15n57an7d4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ytxfiyces2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vytxfiyces2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_heading=h.vytxfiyces24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88gzk8kcun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988gzk8kcun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_heading=h.988gzk8kcuno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hirgfy4mcjt">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lhirgfy4mcj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_heading=h.lhirgfy4mcjt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uh7z53nq9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yuh7z53nq9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_heading=h.yuh7z53nq9t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rtin2i08to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trtin2i08to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_heading=h.trtin2i08to3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o3vzqt6fn3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8o3vzqt6fn3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_heading=h.8o3vzqt6fn3w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24p7t1hm1m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e24p7t1hm1m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_heading=h.e24p7t1hm1mu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ojvf1qnkb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aojvf1qnkb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_heading=h.aojvf1qnkby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k03t82iheb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5k03t82iheb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_heading=h.5k03t82iheb9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igtbm2rqio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7igtbm2rqio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_heading=h.7igtbm2rqiof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xw4w4z0etv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mxw4w4z0etv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_heading=h.mxw4w4z0etvl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4f89ajl6zu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n4f89ajl6zu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_heading=h.n4f89ajl6zuh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v0k01gu7nl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vv0k01gu7nl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_heading=h.vv0k01gu7nlc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j9in2q2wmr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yj9in2q2wmr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_heading=h.yj9in2q2wmrh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eikmt78mk3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eeikmt78mk3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_heading=h.eeikmt78mk3o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lcqojk5ir7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ylcqojk5ir7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_heading=h.ylcqojk5ir7f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f0z4shtrvjg">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pf0z4shtrvj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_heading=h.pf0z4shtrvjg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5hxovmpjte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m5hxovmpjte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_heading=h.m5hxovmpjtel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0ft57k6lw9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20ft57k6lw9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_heading=h.20ft57k6lw9g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rqz5hvbb4m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rqz5hvbb4m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_heading=h.rqz5hvbb4m9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ici9yfs3lo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hici9yfs3lo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_heading=h.hici9yfs3lom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iun6nogi8a5">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1iun6nogi8a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_heading=h.1iun6nogi8a5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1golfg4fqy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91golfg4fqy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_heading=h.91golfg4fqya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crrqvkvtiu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jcrrqvkvtiu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_heading=h.jcrrqvkvtiub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h5teym548q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9h5teym548q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_heading=h.9h5teym548qj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pqglqo5fs1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tpqglqo5fs1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_heading=h.tpqglqo5fs1z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rsxxlg1drg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ersxxlg1drg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_heading=h.ersxxlg1drg8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6uz9l2d4rs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k6uz9l2d4rs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_heading=h.k6uz9l2d4rsl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3qwis0ixy62w"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1kzbhuhql4p9"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pduy1xd929vs"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ou662yastsmv"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96a63zb9cu7i"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4mouzovdalte"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iusgkgp488z4"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l7yczbts025z"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czndnonqumid"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ib4w8rnqa390"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ms15n57an7d4"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vytxfiyces24"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988gzk8kcuno"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lhirgfy4mcjt"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yuh7z53nq9t"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trtin2i08to3"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8o3vzqt6fn3w"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e24p7t1hm1mu"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aojvf1qnkby"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5k03t82iheb9"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7igtbm2rqiof"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mxw4w4z0etvl"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n4f89ajl6zuh"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vv0k01gu7nlc"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yj9in2q2wmrh"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eeikmt78mk3o"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ylcqojk5ir7f"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pf0z4shtrvjg"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m5hxovmpjtel"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20ft57k6lw9g"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rqz5hvbb4m9"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hici9yfs3lom"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1iun6nogi8a5"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91golfg4fqya"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jcrrqvkvtiub"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9h5teym548qj"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tpqglqo5fs1z"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ersxxlg1drg8"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k6uz9l2d4rsl"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kIQoIQcQJ6kliAeXaAnNUtQFbQ==">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