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DE VALPARAÍSO</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5"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1633580859"/>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1qjqghptorq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e4i4y06qed1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drwcof9uax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mcyuo8hvdr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9nhxol5frn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fzltyfg8h70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464w7krmw01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jdkeemv3sbt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sbf5s3y6egn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a558y0kci89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4b7hryt8vy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axpm996kh0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5slrlsllx4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vd2acfndts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de1bbll78h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dkcdjtpnx1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3b60h8ijzy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0anhji346o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595z4k28c6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ntf9iesubz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2ozzx43z67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bu5yk4q4ee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o53v35b625d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l9a9qmmc58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1qjqghptorqg"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e4i4y06qed1c"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tdrwcof9uax0"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spacing w:after="0" w:lineRule="auto"/>
        <w:rPr/>
      </w:pPr>
      <w:r w:rsidDel="00000000" w:rsidR="00000000" w:rsidRPr="00000000">
        <w:rPr>
          <w:rtl w:val="0"/>
        </w:rPr>
      </w:r>
    </w:p>
    <w:tbl>
      <w:tblPr>
        <w:tblStyle w:val="Table1"/>
        <w:tblW w:w="8822.0" w:type="dxa"/>
        <w:jc w:val="left"/>
        <w:tblLayout w:type="fixed"/>
        <w:tblLook w:val="0400"/>
      </w:tblPr>
      <w:tblGrid>
        <w:gridCol w:w="8822"/>
        <w:tblGridChange w:id="0">
          <w:tblGrid>
            <w:gridCol w:w="8822"/>
          </w:tblGrid>
        </w:tblGridChange>
      </w:tblGrid>
      <w:tr>
        <w:trPr>
          <w:cantSplit w:val="0"/>
          <w:trHeight w:val="315" w:hRule="atLeast"/>
          <w:tblHeader w:val="0"/>
        </w:trPr>
        <w:tc>
          <w:tcPr>
            <w:vMerge w:val="restart"/>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0">
            <w:pPr>
              <w:spacing w:after="0" w:line="240" w:lineRule="auto"/>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1:</w:t>
            </w:r>
          </w:p>
          <w:p w:rsidR="00000000" w:rsidDel="00000000" w:rsidP="00000000" w:rsidRDefault="00000000" w:rsidRPr="00000000" w14:paraId="00000051">
            <w:pPr>
              <w:spacing w:after="0" w:line="240" w:lineRule="auto"/>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2">
            <w:pPr>
              <w:spacing w:after="0" w:line="240" w:lineRule="auto"/>
              <w:jc w:val="left"/>
              <w:rPr>
                <w:rFonts w:ascii="Arial" w:cs="Arial" w:eastAsia="Arial" w:hAnsi="Arial"/>
                <w:sz w:val="20"/>
                <w:szCs w:val="20"/>
              </w:rPr>
            </w:pPr>
            <w:r w:rsidDel="00000000" w:rsidR="00000000" w:rsidRPr="00000000">
              <w:rPr>
                <w:rtl w:val="0"/>
              </w:rPr>
              <w:t xml:space="preserve">Se excluye a aquellas organizaciones que hayan sido beneficiadas en el Programa Fortalecimiento Gremial en el año 2025</w:t>
              <w:br w:type="textWrapping"/>
              <w:t xml:space="preserve">- Programa de Creación y Fortalecimiento de empresas Sociales y Cooperativas 2025 - 2026</w:t>
              <w:br w:type="textWrapping"/>
              <w:t xml:space="preserve">- Programa Fortalecimiento de Barrios Comerciales 2025</w:t>
            </w: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pStyle w:val="Heading2"/>
        <w:ind w:left="0" w:firstLine="0"/>
        <w:rPr/>
      </w:pPr>
      <w:bookmarkStart w:colFirst="0" w:colLast="0" w:name="_heading=h.ya179pyoscwa" w:id="6"/>
      <w:bookmarkEnd w:id="6"/>
      <w:r w:rsidDel="00000000" w:rsidR="00000000" w:rsidRPr="00000000">
        <w:rPr>
          <w:rtl w:val="0"/>
        </w:rPr>
        <w:t xml:space="preserve">1.4 ¿Quiénes NO pueden participar?</w:t>
      </w:r>
    </w:p>
    <w:p w:rsidR="00000000" w:rsidDel="00000000" w:rsidP="00000000" w:rsidRDefault="00000000" w:rsidRPr="00000000" w14:paraId="0000005A">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B">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C">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D">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E">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F">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60">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61">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62">
      <w:pPr>
        <w:pStyle w:val="Heading2"/>
        <w:ind w:left="0" w:firstLine="0"/>
        <w:rPr/>
      </w:pPr>
      <w:bookmarkStart w:colFirst="0" w:colLast="0" w:name="_heading=h.d21na9ic3bqs" w:id="7"/>
      <w:bookmarkEnd w:id="7"/>
      <w:r w:rsidDel="00000000" w:rsidR="00000000" w:rsidRPr="00000000">
        <w:rPr>
          <w:rtl w:val="0"/>
        </w:rPr>
        <w:t xml:space="preserve">1.5 ¿Qué financia?</w:t>
      </w:r>
    </w:p>
    <w:p w:rsidR="00000000" w:rsidDel="00000000" w:rsidP="00000000" w:rsidRDefault="00000000" w:rsidRPr="00000000" w14:paraId="00000063">
      <w:pPr>
        <w:pStyle w:val="Heading2"/>
        <w:ind w:left="0" w:firstLine="0"/>
        <w:rPr>
          <w:b w:val="0"/>
          <w:bCs w:val="0"/>
          <w:sz w:val="22"/>
          <w:szCs w:val="22"/>
        </w:rPr>
      </w:pPr>
      <w:bookmarkStart w:colFirst="0" w:colLast="0" w:name="_heading=h.7b7r0th7lotq" w:id="8"/>
      <w:bookmarkEnd w:id="8"/>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2"/>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64">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66">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67">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68">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69">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74">
            <w:pPr>
              <w:jc w:val="center"/>
              <w:rPr/>
            </w:pPr>
            <w:r w:rsidDel="00000000" w:rsidR="00000000" w:rsidRPr="00000000">
              <w:rPr>
                <w:rtl w:val="0"/>
              </w:rPr>
              <w:t xml:space="preserve">Inversiones</w:t>
            </w:r>
          </w:p>
        </w:tc>
        <w:tc>
          <w:tcPr/>
          <w:p w:rsidR="00000000" w:rsidDel="00000000" w:rsidP="00000000" w:rsidRDefault="00000000" w:rsidRPr="00000000" w14:paraId="00000075">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78">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79">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t xml:space="preserve">Servicios y/o Consumos Generales.</w:t>
            </w:r>
          </w:p>
        </w:tc>
      </w:tr>
    </w:tbl>
    <w:p w:rsidR="00000000" w:rsidDel="00000000" w:rsidP="00000000" w:rsidRDefault="00000000" w:rsidRPr="00000000" w14:paraId="00000080">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81">
      <w:pPr>
        <w:pStyle w:val="Heading2"/>
        <w:ind w:left="0" w:firstLine="0"/>
        <w:rPr/>
      </w:pPr>
      <w:bookmarkStart w:colFirst="0" w:colLast="0" w:name="_heading=h.7kdiqs66yhj" w:id="9"/>
      <w:bookmarkEnd w:id="9"/>
      <w:r w:rsidDel="00000000" w:rsidR="00000000" w:rsidRPr="00000000">
        <w:rPr>
          <w:rtl w:val="0"/>
        </w:rPr>
        <w:t xml:space="preserve">1.6 ¿Qué NO financia este instrumento?</w:t>
      </w:r>
    </w:p>
    <w:p w:rsidR="00000000" w:rsidDel="00000000" w:rsidP="00000000" w:rsidRDefault="00000000" w:rsidRPr="00000000" w14:paraId="00000082">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83">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86">
      <w:pPr>
        <w:spacing w:after="0" w:lineRule="auto"/>
        <w:ind w:left="284" w:hanging="1.0000000000000142"/>
        <w:rPr/>
      </w:pPr>
      <w:r w:rsidDel="00000000" w:rsidR="00000000" w:rsidRPr="00000000">
        <w:rPr>
          <w:rtl w:val="0"/>
        </w:rPr>
      </w:r>
    </w:p>
    <w:p w:rsidR="00000000" w:rsidDel="00000000" w:rsidP="00000000" w:rsidRDefault="00000000" w:rsidRPr="00000000" w14:paraId="00000087">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88">
      <w:pPr>
        <w:spacing w:after="0" w:lineRule="auto"/>
        <w:ind w:left="284" w:hanging="1.0000000000000142"/>
        <w:rPr/>
      </w:pPr>
      <w:r w:rsidDel="00000000" w:rsidR="00000000" w:rsidRPr="00000000">
        <w:rPr>
          <w:rtl w:val="0"/>
        </w:rPr>
      </w:r>
    </w:p>
    <w:p w:rsidR="00000000" w:rsidDel="00000000" w:rsidP="00000000" w:rsidRDefault="00000000" w:rsidRPr="00000000" w14:paraId="00000089">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A">
      <w:pPr>
        <w:spacing w:after="0" w:lineRule="auto"/>
        <w:ind w:left="284" w:firstLine="0"/>
        <w:rPr/>
      </w:pPr>
      <w:r w:rsidDel="00000000" w:rsidR="00000000" w:rsidRPr="00000000">
        <w:rPr>
          <w:rtl w:val="0"/>
        </w:rPr>
      </w:r>
    </w:p>
    <w:p w:rsidR="00000000" w:rsidDel="00000000" w:rsidP="00000000" w:rsidRDefault="00000000" w:rsidRPr="00000000" w14:paraId="0000008B">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C">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D">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E">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F">
      <w:pPr>
        <w:numPr>
          <w:ilvl w:val="0"/>
          <w:numId w:val="4"/>
        </w:numPr>
        <w:spacing w:after="0" w:line="276" w:lineRule="auto"/>
        <w:ind w:left="284" w:right="49" w:hanging="360"/>
        <w:rPr/>
      </w:pPr>
      <w:bookmarkStart w:colFirst="0" w:colLast="0" w:name="_heading=h.2xgx5rj1i909" w:id="10"/>
      <w:bookmarkEnd w:id="10"/>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90">
      <w:pPr>
        <w:spacing w:after="0" w:line="276" w:lineRule="auto"/>
        <w:ind w:left="284" w:right="49" w:firstLine="0"/>
        <w:rPr/>
      </w:pPr>
      <w:r w:rsidDel="00000000" w:rsidR="00000000" w:rsidRPr="00000000">
        <w:rPr>
          <w:rtl w:val="0"/>
        </w:rPr>
      </w:r>
    </w:p>
    <w:p w:rsidR="00000000" w:rsidDel="00000000" w:rsidP="00000000" w:rsidRDefault="00000000" w:rsidRPr="00000000" w14:paraId="00000091">
      <w:pPr>
        <w:pStyle w:val="Heading1"/>
        <w:ind w:left="0" w:firstLine="0"/>
        <w:rPr/>
      </w:pPr>
      <w:bookmarkStart w:colFirst="0" w:colLast="0" w:name="_heading=h.1uf9i7mhqkns" w:id="11"/>
      <w:bookmarkEnd w:id="11"/>
      <w:r w:rsidDel="00000000" w:rsidR="00000000" w:rsidRPr="00000000">
        <w:rPr>
          <w:rtl w:val="0"/>
        </w:rPr>
        <w:t xml:space="preserve">2. Postulación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bookmarkStart w:colFirst="0" w:colLast="0" w:name="_heading=h.njlsxns9sz79" w:id="12"/>
      <w:bookmarkEnd w:id="12"/>
      <w:r w:rsidDel="00000000" w:rsidR="00000000" w:rsidRPr="00000000">
        <w:rPr>
          <w:rtl w:val="0"/>
        </w:rPr>
        <w:t xml:space="preserve">Para acceder a este instrumento, la organización a través de su representante deberá completar un formulario de postulación online (</w:t>
      </w:r>
      <w:hyperlink r:id="rId9">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94">
      <w:pPr>
        <w:pStyle w:val="Heading2"/>
        <w:rPr/>
      </w:pPr>
      <w:bookmarkStart w:colFirst="0" w:colLast="0" w:name="_heading=h.dmcyuo8hvdru" w:id="13"/>
      <w:bookmarkEnd w:id="13"/>
      <w:r w:rsidDel="00000000" w:rsidR="00000000" w:rsidRPr="00000000">
        <w:rPr>
          <w:rtl w:val="0"/>
        </w:rPr>
        <w:t xml:space="preserve">2.1 Plazos de postulación</w:t>
      </w:r>
    </w:p>
    <w:p w:rsidR="00000000" w:rsidDel="00000000" w:rsidP="00000000" w:rsidRDefault="00000000" w:rsidRPr="00000000" w14:paraId="00000095">
      <w:pPr>
        <w:rPr/>
      </w:pPr>
      <w:r w:rsidDel="00000000" w:rsidR="00000000" w:rsidRPr="00000000">
        <w:rPr>
          <w:rtl w:val="0"/>
        </w:rPr>
        <w:t xml:space="preserve">El plazo para recibir las postulaciones es el siguiente:</w:t>
      </w:r>
    </w:p>
    <w:tbl>
      <w:tblPr>
        <w:tblStyle w:val="Table3"/>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98">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9">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A">
            <w:pPr>
              <w:jc w:val="center"/>
              <w:rPr/>
            </w:pPr>
            <w:r w:rsidDel="00000000" w:rsidR="00000000" w:rsidRPr="00000000">
              <w:rPr>
                <w:rtl w:val="0"/>
              </w:rPr>
              <w:t xml:space="preserve">Inicio Postulación</w:t>
            </w:r>
          </w:p>
        </w:tc>
        <w:tc>
          <w:tcPr/>
          <w:p w:rsidR="00000000" w:rsidDel="00000000" w:rsidP="00000000" w:rsidRDefault="00000000" w:rsidRPr="00000000" w14:paraId="0000009B">
            <w:pPr>
              <w:jc w:val="center"/>
              <w:rPr/>
            </w:pPr>
            <w:r w:rsidDel="00000000" w:rsidR="00000000" w:rsidRPr="00000000">
              <w:rPr>
                <w:rtl w:val="0"/>
              </w:rPr>
              <w:t xml:space="preserve">martes</w:t>
            </w:r>
          </w:p>
        </w:tc>
        <w:tc>
          <w:tcPr/>
          <w:p w:rsidR="00000000" w:rsidDel="00000000" w:rsidP="00000000" w:rsidRDefault="00000000" w:rsidRPr="00000000" w14:paraId="0000009C">
            <w:pPr>
              <w:jc w:val="center"/>
              <w:rPr/>
            </w:pPr>
            <w:r w:rsidDel="00000000" w:rsidR="00000000" w:rsidRPr="00000000">
              <w:rPr>
                <w:rtl w:val="0"/>
              </w:rPr>
              <w:t xml:space="preserve">19 de mayo</w:t>
            </w:r>
          </w:p>
        </w:tc>
        <w:tc>
          <w:tcPr/>
          <w:p w:rsidR="00000000" w:rsidDel="00000000" w:rsidP="00000000" w:rsidRDefault="00000000" w:rsidRPr="00000000" w14:paraId="0000009D">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E">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F">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A0">
            <w:pPr>
              <w:jc w:val="center"/>
              <w:rPr/>
            </w:pPr>
            <w:r w:rsidDel="00000000" w:rsidR="00000000" w:rsidRPr="00000000">
              <w:rPr>
                <w:rtl w:val="0"/>
              </w:rPr>
              <w:t xml:space="preserve">18 de junio</w:t>
            </w:r>
          </w:p>
        </w:tc>
        <w:tc>
          <w:tcPr/>
          <w:p w:rsidR="00000000" w:rsidDel="00000000" w:rsidP="00000000" w:rsidRDefault="00000000" w:rsidRPr="00000000" w14:paraId="000000A1">
            <w:pPr>
              <w:jc w:val="center"/>
              <w:rPr/>
            </w:pPr>
            <w:r w:rsidDel="00000000" w:rsidR="00000000" w:rsidRPr="00000000">
              <w:rPr>
                <w:rtl w:val="0"/>
              </w:rPr>
              <w:t xml:space="preserve">15:00 hrs</w:t>
            </w:r>
          </w:p>
        </w:tc>
      </w:tr>
    </w:tbl>
    <w:p w:rsidR="00000000" w:rsidDel="00000000" w:rsidP="00000000" w:rsidRDefault="00000000" w:rsidRPr="00000000" w14:paraId="000000A2">
      <w:pPr>
        <w:pStyle w:val="Heading2"/>
        <w:ind w:left="574" w:firstLine="0"/>
        <w:rPr/>
      </w:pPr>
      <w:bookmarkStart w:colFirst="0" w:colLast="0" w:name="_heading=h.99nhxol5frnw" w:id="14"/>
      <w:bookmarkEnd w:id="14"/>
      <w:r w:rsidDel="00000000" w:rsidR="00000000" w:rsidRPr="00000000">
        <w:rPr>
          <w:rtl w:val="0"/>
        </w:rPr>
        <w:t xml:space="preserve">2.2 Pasos para postular</w:t>
      </w:r>
    </w:p>
    <w:p w:rsidR="00000000" w:rsidDel="00000000" w:rsidP="00000000" w:rsidRDefault="00000000" w:rsidRPr="00000000" w14:paraId="000000A3">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0">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4">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A5">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A6">
      <w:pPr>
        <w:pStyle w:val="Heading2"/>
        <w:ind w:left="574" w:firstLine="0"/>
        <w:rPr/>
      </w:pPr>
      <w:bookmarkStart w:colFirst="0" w:colLast="0" w:name="_heading=h.nrai6j49dpqo" w:id="15"/>
      <w:bookmarkEnd w:id="15"/>
      <w:r w:rsidDel="00000000" w:rsidR="00000000" w:rsidRPr="00000000">
        <w:rPr>
          <w:rtl w:val="0"/>
        </w:rPr>
        <w:t xml:space="preserve">2.3 Apoyo en el proceso de postulación</w:t>
      </w:r>
    </w:p>
    <w:p w:rsidR="00000000" w:rsidDel="00000000" w:rsidP="00000000" w:rsidRDefault="00000000" w:rsidRPr="00000000" w14:paraId="000000A7">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8">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9">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
                <a:graphic>
                  <a:graphicData uri="http://schemas.microsoft.com/office/word/2010/wordprocessingShape">
                    <wps:wsp>
                      <wps:cNvSpPr/>
                      <wps:cNvPr id="5" name="Shape 5"/>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A">
      <w:pPr>
        <w:pStyle w:val="Heading1"/>
        <w:numPr>
          <w:ilvl w:val="0"/>
          <w:numId w:val="11"/>
        </w:numPr>
        <w:ind w:left="360" w:hanging="360"/>
        <w:rPr/>
      </w:pPr>
      <w:bookmarkStart w:colFirst="0" w:colLast="0" w:name="_heading=h.5apbzwz2g1eq" w:id="16"/>
      <w:bookmarkEnd w:id="16"/>
      <w:r w:rsidDel="00000000" w:rsidR="00000000" w:rsidRPr="00000000">
        <w:rPr>
          <w:rtl w:val="0"/>
        </w:rPr>
        <w:t xml:space="preserve">Evaluación y selección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AD">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AE">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AF">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B0">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B1">
      <w:pPr>
        <w:pStyle w:val="Heading2"/>
        <w:ind w:left="0" w:firstLine="0"/>
        <w:rPr/>
      </w:pPr>
      <w:bookmarkStart w:colFirst="0" w:colLast="0" w:name="_heading=h.fzltyfg8h70v" w:id="17"/>
      <w:bookmarkEnd w:id="17"/>
      <w:r w:rsidDel="00000000" w:rsidR="00000000" w:rsidRPr="00000000">
        <w:rPr>
          <w:rtl w:val="0"/>
        </w:rPr>
        <w:t xml:space="preserve">3.1 Evaluación de admisibilidad manual</w:t>
      </w:r>
    </w:p>
    <w:p w:rsidR="00000000" w:rsidDel="00000000" w:rsidP="00000000" w:rsidRDefault="00000000" w:rsidRPr="00000000" w14:paraId="000000B2">
      <w:pPr>
        <w:spacing w:after="0" w:lineRule="auto"/>
        <w:rPr/>
      </w:pPr>
      <w:bookmarkStart w:colFirst="0" w:colLast="0" w:name="_heading=h.27qk75jrc4v" w:id="18"/>
      <w:bookmarkEnd w:id="18"/>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3">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19"/>
      <w:bookmarkEnd w:id="19"/>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0"/>
      <w:bookmarkEnd w:id="20"/>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C">
      <w:pPr>
        <w:spacing w:after="0" w:line="240" w:lineRule="auto"/>
        <w:rPr/>
      </w:pPr>
      <w:r w:rsidDel="00000000" w:rsidR="00000000" w:rsidRPr="00000000">
        <w:rPr>
          <w:rtl w:val="0"/>
        </w:rPr>
      </w:r>
    </w:p>
    <w:tbl>
      <w:tblPr>
        <w:tblStyle w:val="Table4"/>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D">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E">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CE">
      <w:pPr>
        <w:rPr/>
      </w:pPr>
      <w:bookmarkStart w:colFirst="0" w:colLast="0" w:name="_heading=h.rouvtecmtulj" w:id="21"/>
      <w:bookmarkEnd w:id="21"/>
      <w:r w:rsidDel="00000000" w:rsidR="00000000" w:rsidRPr="00000000">
        <w:rPr/>
        <mc:AlternateContent>
          <mc:Choice Requires="wpg">
            <w:drawing>
              <wp:inline distB="0" distT="0" distL="0" distR="0">
                <wp:extent cx="5739765" cy="4086225"/>
                <wp:effectExtent b="0" l="0" r="0" t="0"/>
                <wp:docPr id="1" name=""/>
                <a:graphic>
                  <a:graphicData uri="http://schemas.microsoft.com/office/word/2010/wordprocessingShape">
                    <wps:wsp>
                      <wps:cNvSpPr/>
                      <wps:cNvPr id="2" name="Shape 2"/>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F">
      <w:pPr>
        <w:pStyle w:val="Heading2"/>
        <w:ind w:left="574" w:firstLine="0"/>
        <w:rPr/>
      </w:pPr>
      <w:bookmarkStart w:colFirst="0" w:colLast="0" w:name="_heading=h.464w7krmw01u" w:id="22"/>
      <w:bookmarkEnd w:id="22"/>
      <w:r w:rsidDel="00000000" w:rsidR="00000000" w:rsidRPr="00000000">
        <w:rPr>
          <w:rtl w:val="0"/>
        </w:rPr>
        <w:t xml:space="preserve">3.2 Evaluación Técnica</w:t>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5"/>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8">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B">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left"/>
              <w:rPr>
                <w:color w:val="000000"/>
              </w:rPr>
            </w:pPr>
            <w:bookmarkStart w:colFirst="0" w:colLast="0" w:name="_heading=h.gnwxlt5qfioz" w:id="23"/>
            <w:bookmarkEnd w:id="23"/>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“Proyecto incluye actividades destinadas a fortalecer asociatividad y colaboración entre los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F">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1">
      <w:pPr>
        <w:pStyle w:val="Heading2"/>
        <w:ind w:left="574" w:firstLine="0"/>
        <w:rPr/>
      </w:pPr>
      <w:bookmarkStart w:colFirst="0" w:colLast="0" w:name="_heading=h.jdkeemv3sbto" w:id="24"/>
      <w:bookmarkEnd w:id="24"/>
      <w:r w:rsidDel="00000000" w:rsidR="00000000" w:rsidRPr="00000000">
        <w:rPr>
          <w:rtl w:val="0"/>
        </w:rPr>
        <w:t xml:space="preserve">3.3 Comité de Evaluación Regional (CER)</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6"/>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F4">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6">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7">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8">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9">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A">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B">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C">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D">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E">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F">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0">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101">
            <w:pPr>
              <w:ind w:left="209" w:firstLine="0"/>
              <w:rPr/>
            </w:pPr>
            <w:r w:rsidDel="00000000" w:rsidR="00000000" w:rsidRPr="00000000">
              <w:rPr>
                <w:rtl w:val="0"/>
              </w:rPr>
            </w:r>
          </w:p>
        </w:tc>
        <w:tc>
          <w:tcPr>
            <w:vAlign w:val="center"/>
          </w:tcPr>
          <w:p w:rsidR="00000000" w:rsidDel="00000000" w:rsidP="00000000" w:rsidRDefault="00000000" w:rsidRPr="00000000" w14:paraId="00000102">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3">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104">
            <w:pPr>
              <w:rPr>
                <w:color w:val="000000"/>
              </w:rPr>
            </w:pPr>
            <w:r w:rsidDel="00000000" w:rsidR="00000000" w:rsidRPr="00000000">
              <w:rPr>
                <w:rtl w:val="0"/>
              </w:rPr>
            </w:r>
          </w:p>
        </w:tc>
        <w:tc>
          <w:tcPr>
            <w:vAlign w:val="center"/>
          </w:tcPr>
          <w:p w:rsidR="00000000" w:rsidDel="00000000" w:rsidP="00000000" w:rsidRDefault="00000000" w:rsidRPr="00000000" w14:paraId="00000105">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06">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7">
            <w:pPr>
              <w:ind w:left="425" w:firstLine="0"/>
              <w:rPr/>
            </w:pPr>
            <w:r w:rsidDel="00000000" w:rsidR="00000000" w:rsidRPr="00000000">
              <w:rPr>
                <w:rtl w:val="0"/>
              </w:rPr>
            </w:r>
          </w:p>
        </w:tc>
        <w:tc>
          <w:tcPr>
            <w:vAlign w:val="center"/>
          </w:tcPr>
          <w:p w:rsidR="00000000" w:rsidDel="00000000" w:rsidP="00000000" w:rsidRDefault="00000000" w:rsidRPr="00000000" w14:paraId="00000108">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9">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A">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C">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D">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E">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F">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10">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7"/>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15">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16">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7">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8">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9">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A">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B">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E">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F">
      <w:pPr>
        <w:pStyle w:val="Heading2"/>
        <w:ind w:left="574" w:firstLine="0"/>
        <w:rPr>
          <w:u w:val="single"/>
        </w:rPr>
      </w:pPr>
      <w:bookmarkStart w:colFirst="0" w:colLast="0" w:name="_heading=h.sbf5s3y6egne" w:id="25"/>
      <w:bookmarkEnd w:id="25"/>
      <w:r w:rsidDel="00000000" w:rsidR="00000000" w:rsidRPr="00000000">
        <w:rPr>
          <w:u w:val="single"/>
          <w:rtl w:val="0"/>
        </w:rPr>
        <w:t xml:space="preserve">Criterios de desempate</w:t>
      </w:r>
    </w:p>
    <w:p w:rsidR="00000000" w:rsidDel="00000000" w:rsidP="00000000" w:rsidRDefault="00000000" w:rsidRPr="00000000" w14:paraId="00000120">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21">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22">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23">
      <w:pPr>
        <w:pStyle w:val="Heading1"/>
        <w:spacing w:after="240" w:lineRule="auto"/>
        <w:ind w:left="425" w:firstLine="0"/>
        <w:rPr>
          <w:sz w:val="24"/>
          <w:szCs w:val="24"/>
          <w:u w:val="single"/>
        </w:rPr>
      </w:pPr>
      <w:bookmarkStart w:colFirst="0" w:colLast="0" w:name="_heading=h.a558y0kci89u" w:id="26"/>
      <w:bookmarkEnd w:id="26"/>
      <w:r w:rsidDel="00000000" w:rsidR="00000000" w:rsidRPr="00000000">
        <w:rPr>
          <w:sz w:val="24"/>
          <w:szCs w:val="24"/>
          <w:u w:val="single"/>
          <w:rtl w:val="0"/>
        </w:rPr>
        <w:t xml:space="preserve">Aviso de resultados</w:t>
      </w:r>
    </w:p>
    <w:p w:rsidR="00000000" w:rsidDel="00000000" w:rsidP="00000000" w:rsidRDefault="00000000" w:rsidRPr="00000000" w14:paraId="00000124">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25">
      <w:pPr>
        <w:pStyle w:val="Heading1"/>
        <w:ind w:left="0" w:firstLine="0"/>
        <w:rPr/>
      </w:pPr>
      <w:bookmarkStart w:colFirst="0" w:colLast="0" w:name="_heading=h.w4b7hryt8vyy" w:id="27"/>
      <w:bookmarkEnd w:id="27"/>
      <w:r w:rsidDel="00000000" w:rsidR="00000000" w:rsidRPr="00000000">
        <w:rPr>
          <w:rtl w:val="0"/>
        </w:rPr>
        <w:t xml:space="preserve">4. Formalización con SERCOTEC</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8">
      <w:pPr>
        <w:pStyle w:val="Heading2"/>
        <w:ind w:left="0" w:firstLine="0"/>
        <w:rPr>
          <w:u w:val="single"/>
        </w:rPr>
      </w:pPr>
      <w:bookmarkStart w:colFirst="0" w:colLast="0" w:name="_heading=h.raxpm996kh0j" w:id="28"/>
      <w:bookmarkEnd w:id="28"/>
      <w:r w:rsidDel="00000000" w:rsidR="00000000" w:rsidRPr="00000000">
        <w:rPr>
          <w:u w:val="single"/>
          <w:rtl w:val="0"/>
        </w:rPr>
        <w:t xml:space="preserve">REQUISITOS FORMALIZACIÓN Y FASE DE DESARROLLO</w:t>
      </w:r>
    </w:p>
    <w:p w:rsidR="00000000" w:rsidDel="00000000" w:rsidP="00000000" w:rsidRDefault="00000000" w:rsidRPr="00000000" w14:paraId="00000129">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30">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34">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36">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7">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8">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9">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A">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B">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D">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F">
      <w:pPr>
        <w:pStyle w:val="Heading2"/>
        <w:ind w:left="0" w:firstLine="0"/>
        <w:rPr>
          <w:u w:val="single"/>
        </w:rPr>
      </w:pPr>
      <w:bookmarkStart w:colFirst="0" w:colLast="0" w:name="_heading=h.y5slrlsllx4k" w:id="29"/>
      <w:bookmarkEnd w:id="29"/>
      <w:r w:rsidDel="00000000" w:rsidR="00000000" w:rsidRPr="00000000">
        <w:rPr>
          <w:u w:val="single"/>
          <w:rtl w:val="0"/>
        </w:rPr>
        <w:t xml:space="preserve">Plazos de formalización</w:t>
      </w:r>
    </w:p>
    <w:p w:rsidR="00000000" w:rsidDel="00000000" w:rsidP="00000000" w:rsidRDefault="00000000" w:rsidRPr="00000000" w14:paraId="00000140">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42">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43">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44">
      <w:pPr>
        <w:rPr/>
      </w:pPr>
      <w:r w:rsidDel="00000000" w:rsidR="00000000" w:rsidRPr="00000000">
        <w:rPr>
          <w:color w:val="000000"/>
        </w:rPr>
        <mc:AlternateContent>
          <mc:Choice Requires="wpg">
            <w:drawing>
              <wp:inline distB="0" distT="0" distL="0" distR="0">
                <wp:extent cx="5666105" cy="2837770"/>
                <wp:effectExtent b="0" l="0" r="0" t="0"/>
                <wp:docPr id="3" name=""/>
                <a:graphic>
                  <a:graphicData uri="http://schemas.microsoft.com/office/word/2010/wordprocessingShape">
                    <wps:wsp>
                      <wps:cNvSpPr/>
                      <wps:cNvPr id="4" name="Shape 4"/>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1"/>
        <w:ind w:left="0" w:firstLine="0"/>
        <w:rPr/>
      </w:pPr>
      <w:bookmarkStart w:colFirst="0" w:colLast="0" w:name="_heading=h.2vd2acfndtss" w:id="30"/>
      <w:bookmarkEnd w:id="30"/>
      <w:r w:rsidDel="00000000" w:rsidR="00000000" w:rsidRPr="00000000">
        <w:rPr>
          <w:rtl w:val="0"/>
        </w:rPr>
        <w:t xml:space="preserve">5. FASE DE DESARROLLO</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A">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B">
      <w:pPr>
        <w:pStyle w:val="Heading2"/>
        <w:ind w:left="0" w:firstLine="0"/>
        <w:rPr/>
      </w:pPr>
      <w:bookmarkStart w:colFirst="0" w:colLast="0" w:name="_heading=h.dde1bbll78hi" w:id="31"/>
      <w:bookmarkEnd w:id="31"/>
      <w:r w:rsidDel="00000000" w:rsidR="00000000" w:rsidRPr="00000000">
        <w:rPr>
          <w:rtl w:val="0"/>
        </w:rPr>
        <w:t xml:space="preserve">5.2 Implementación del Plan de Trabajo</w:t>
      </w:r>
    </w:p>
    <w:p w:rsidR="00000000" w:rsidDel="00000000" w:rsidP="00000000" w:rsidRDefault="00000000" w:rsidRPr="00000000" w14:paraId="0000014C">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D">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E">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F">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50">
      <w:pPr>
        <w:rPr/>
      </w:pPr>
      <w:bookmarkStart w:colFirst="0" w:colLast="0" w:name="_heading=h.mycd5u7nydoy" w:id="32"/>
      <w:bookmarkEnd w:id="32"/>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51">
      <w:pPr>
        <w:rPr/>
      </w:pPr>
      <w:bookmarkStart w:colFirst="0" w:colLast="0" w:name="_heading=h.baq6bdjpemcv" w:id="33"/>
      <w:bookmarkEnd w:id="33"/>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52">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53">
      <w:pPr>
        <w:rPr/>
      </w:pPr>
      <w:r w:rsidDel="00000000" w:rsidR="00000000" w:rsidRPr="00000000">
        <w:rPr/>
        <mc:AlternateContent>
          <mc:Choice Requires="wpg">
            <w:drawing>
              <wp:inline distB="0" distT="0" distL="0" distR="0">
                <wp:extent cx="5631180" cy="1149350"/>
                <wp:effectExtent b="0" l="0" r="0" t="0"/>
                <wp:docPr id="2" name=""/>
                <a:graphic>
                  <a:graphicData uri="http://schemas.microsoft.com/office/word/2010/wordprocessingShape">
                    <wps:wsp>
                      <wps:cNvSpPr/>
                      <wps:cNvPr id="3" name="Shape 3"/>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56">
      <w:pPr>
        <w:pStyle w:val="Heading2"/>
        <w:ind w:left="0" w:firstLine="0"/>
        <w:rPr>
          <w:u w:val="single"/>
        </w:rPr>
      </w:pPr>
      <w:bookmarkStart w:colFirst="0" w:colLast="0" w:name="_heading=h.wdkcdjtpnx10" w:id="34"/>
      <w:bookmarkEnd w:id="34"/>
      <w:r w:rsidDel="00000000" w:rsidR="00000000" w:rsidRPr="00000000">
        <w:rPr>
          <w:u w:val="single"/>
          <w:rtl w:val="0"/>
        </w:rPr>
        <w:t xml:space="preserve">Ampliación de plazo</w:t>
      </w:r>
    </w:p>
    <w:p w:rsidR="00000000" w:rsidDel="00000000" w:rsidP="00000000" w:rsidRDefault="00000000" w:rsidRPr="00000000" w14:paraId="00000157">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8">
      <w:pPr>
        <w:pStyle w:val="Heading2"/>
        <w:ind w:left="0" w:firstLine="0"/>
        <w:rPr>
          <w:u w:val="single"/>
        </w:rPr>
      </w:pPr>
      <w:bookmarkStart w:colFirst="0" w:colLast="0" w:name="_heading=h.r3b60h8ijzyg" w:id="35"/>
      <w:bookmarkEnd w:id="35"/>
      <w:r w:rsidDel="00000000" w:rsidR="00000000" w:rsidRPr="00000000">
        <w:rPr>
          <w:u w:val="single"/>
          <w:rtl w:val="0"/>
        </w:rPr>
        <w:t xml:space="preserve">Modificación presupuestaria</w:t>
      </w:r>
    </w:p>
    <w:p w:rsidR="00000000" w:rsidDel="00000000" w:rsidP="00000000" w:rsidRDefault="00000000" w:rsidRPr="00000000" w14:paraId="00000159">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A">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B">
      <w:pPr>
        <w:pStyle w:val="Heading1"/>
        <w:ind w:left="0" w:firstLine="0"/>
        <w:rPr/>
      </w:pPr>
      <w:bookmarkStart w:colFirst="0" w:colLast="0" w:name="_heading=h.b0anhji346o9" w:id="36"/>
      <w:bookmarkEnd w:id="36"/>
      <w:r w:rsidDel="00000000" w:rsidR="00000000" w:rsidRPr="00000000">
        <w:rPr>
          <w:rtl w:val="0"/>
        </w:rPr>
        <w:t xml:space="preserve">6. Término del proyecto</w:t>
      </w:r>
    </w:p>
    <w:p w:rsidR="00000000" w:rsidDel="00000000" w:rsidP="00000000" w:rsidRDefault="00000000" w:rsidRPr="00000000" w14:paraId="0000015C">
      <w:pPr>
        <w:pStyle w:val="Heading2"/>
        <w:ind w:left="0" w:firstLine="0"/>
        <w:rPr/>
      </w:pPr>
      <w:bookmarkStart w:colFirst="0" w:colLast="0" w:name="_heading=h.k595z4k28c6i" w:id="37"/>
      <w:bookmarkEnd w:id="37"/>
      <w:r w:rsidDel="00000000" w:rsidR="00000000" w:rsidRPr="00000000">
        <w:rPr>
          <w:rtl w:val="0"/>
        </w:rPr>
        <w:t xml:space="preserve">6.1 Término normal</w:t>
      </w:r>
    </w:p>
    <w:p w:rsidR="00000000" w:rsidDel="00000000" w:rsidP="00000000" w:rsidRDefault="00000000" w:rsidRPr="00000000" w14:paraId="0000015D">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E">
      <w:pPr>
        <w:pStyle w:val="Heading2"/>
        <w:ind w:left="0" w:firstLine="0"/>
        <w:rPr/>
      </w:pPr>
      <w:bookmarkStart w:colFirst="0" w:colLast="0" w:name="_heading=h.1ntf9iesubzb" w:id="38"/>
      <w:bookmarkEnd w:id="38"/>
      <w:r w:rsidDel="00000000" w:rsidR="00000000" w:rsidRPr="00000000">
        <w:rPr>
          <w:rtl w:val="0"/>
        </w:rPr>
        <w:t xml:space="preserve">6.2 Término anticipado</w:t>
      </w:r>
    </w:p>
    <w:p w:rsidR="00000000" w:rsidDel="00000000" w:rsidP="00000000" w:rsidRDefault="00000000" w:rsidRPr="00000000" w14:paraId="0000015F">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60">
      <w:pPr>
        <w:pStyle w:val="Heading3"/>
        <w:numPr>
          <w:ilvl w:val="0"/>
          <w:numId w:val="9"/>
        </w:numPr>
        <w:ind w:left="720" w:hanging="360"/>
        <w:rPr/>
      </w:pPr>
      <w:bookmarkStart w:colFirst="0" w:colLast="0" w:name="_heading=h.22ozzx43z676" w:id="39"/>
      <w:bookmarkEnd w:id="39"/>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61">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62">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63">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64">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65">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66">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7">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8">
      <w:pPr>
        <w:pStyle w:val="Heading3"/>
        <w:numPr>
          <w:ilvl w:val="0"/>
          <w:numId w:val="9"/>
        </w:numPr>
        <w:ind w:left="720" w:hanging="360"/>
        <w:rPr/>
      </w:pPr>
      <w:bookmarkStart w:colFirst="0" w:colLast="0" w:name="_heading=h.nbu5yk4q4eer" w:id="40"/>
      <w:bookmarkEnd w:id="40"/>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9">
      <w:pPr>
        <w:rPr/>
      </w:pPr>
      <w:bookmarkStart w:colFirst="0" w:colLast="0" w:name="_heading=h.1fob9te" w:id="41"/>
      <w:bookmarkEnd w:id="41"/>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A">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B">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C">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D">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E">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F">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70">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71">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72">
      <w:pPr>
        <w:pStyle w:val="Heading1"/>
        <w:ind w:left="0" w:firstLine="0"/>
        <w:rPr>
          <w:sz w:val="24"/>
          <w:szCs w:val="24"/>
        </w:rPr>
      </w:pPr>
      <w:bookmarkStart w:colFirst="0" w:colLast="0" w:name="_heading=h.o53v35b625dy" w:id="42"/>
      <w:bookmarkEnd w:id="42"/>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75">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76">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7">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8">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9">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A">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B">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C">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D">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E">
      <w:pPr>
        <w:pStyle w:val="Heading1"/>
        <w:ind w:left="0" w:firstLine="0"/>
        <w:rPr/>
      </w:pPr>
      <w:bookmarkStart w:colFirst="0" w:colLast="0" w:name="_heading=h.rl9a9qmmc584" w:id="43"/>
      <w:bookmarkEnd w:id="43"/>
      <w:r w:rsidDel="00000000" w:rsidR="00000000" w:rsidRPr="00000000">
        <w:rPr>
          <w:rtl w:val="0"/>
        </w:rPr>
        <w:t xml:space="preserve">7. Otros</w:t>
      </w:r>
    </w:p>
    <w:p w:rsidR="00000000" w:rsidDel="00000000" w:rsidP="00000000" w:rsidRDefault="00000000" w:rsidRPr="00000000" w14:paraId="0000017F">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80">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81">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82">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84">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85">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86">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9">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D">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VvFmr6MrUC39dKYym4sV31gAg==">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