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O’HIGGINS</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2092743646"/>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vgfamwghb5g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ie95nutqq4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6kbzrtgfwz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1ittq8dkaa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l6ptj89hvs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lx5n0gjdr1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2nz1norb8y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14meqz0tzu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l0vm67yc71y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qwagrb1tkp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x7jxvplrj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gfqzi9uarg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fp3dbkobyt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er6khf3r7y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iopmi959t9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xzyezjpv13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yku57m4izd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4cvun9r5sm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02zk43cean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eprbadr88j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twenvo5lrq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ser9rqgdp7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c0r7qmd47t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2a50dtk33q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vgfamwghb5g2"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5ie95nutqq43"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q6kbzrtgfwz9"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spacing w:after="0" w:lineRule="auto"/>
        <w:rPr/>
      </w:pPr>
      <w:r w:rsidDel="00000000" w:rsidR="00000000" w:rsidRPr="00000000">
        <w:rPr>
          <w:rtl w:val="0"/>
        </w:rPr>
      </w:r>
    </w:p>
    <w:tbl>
      <w:tblPr>
        <w:tblStyle w:val="Table1"/>
        <w:tblW w:w="9002.0" w:type="dxa"/>
        <w:jc w:val="left"/>
        <w:tblLayout w:type="fixed"/>
        <w:tblLook w:val="0400"/>
      </w:tblPr>
      <w:tblGrid>
        <w:gridCol w:w="9002"/>
        <w:tblGridChange w:id="0">
          <w:tblGrid>
            <w:gridCol w:w="9002"/>
          </w:tblGrid>
        </w:tblGridChange>
      </w:tblGrid>
      <w:tr>
        <w:trPr>
          <w:cantSplit w:val="0"/>
          <w:trHeight w:val="240" w:hRule="atLeast"/>
          <w:tblHeader w:val="0"/>
        </w:trPr>
        <w:tc>
          <w:tcPr>
            <w:vMerge w:val="restart"/>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0">
            <w:pPr>
              <w:spacing w:after="0" w:line="240" w:lineRule="auto"/>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1:</w:t>
            </w:r>
          </w:p>
          <w:p w:rsidR="00000000" w:rsidDel="00000000" w:rsidP="00000000" w:rsidRDefault="00000000" w:rsidRPr="00000000" w14:paraId="00000051">
            <w:pPr>
              <w:spacing w:after="0" w:line="240" w:lineRule="auto"/>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spacing w:after="0" w:line="240" w:lineRule="auto"/>
              <w:jc w:val="left"/>
              <w:rPr>
                <w:rFonts w:ascii="Arial" w:cs="Arial" w:eastAsia="Arial" w:hAnsi="Arial"/>
                <w:sz w:val="20"/>
                <w:szCs w:val="20"/>
              </w:rPr>
            </w:pPr>
            <w:r w:rsidDel="00000000" w:rsidR="00000000" w:rsidRPr="00000000">
              <w:rPr>
                <w:rtl w:val="0"/>
              </w:rPr>
              <w:t xml:space="preserve">Se excluye a aquellas organizaciones que hayan sido beneficiadas en el Programa Fortalecimiento Gremial en el año 2025</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A">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B">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C">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D">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E">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F">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60">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61">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62">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63">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2"/>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64">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68">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69">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74">
            <w:pPr>
              <w:jc w:val="center"/>
              <w:rPr/>
            </w:pPr>
            <w:r w:rsidDel="00000000" w:rsidR="00000000" w:rsidRPr="00000000">
              <w:rPr>
                <w:rtl w:val="0"/>
              </w:rPr>
              <w:t xml:space="preserve">Inversiones</w:t>
            </w:r>
          </w:p>
        </w:tc>
        <w:tc>
          <w:tcPr/>
          <w:p w:rsidR="00000000" w:rsidDel="00000000" w:rsidP="00000000" w:rsidRDefault="00000000" w:rsidRPr="00000000" w14:paraId="00000075">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78">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79">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t xml:space="preserve">Servicios y/o Consumos Generales.</w:t>
            </w:r>
          </w:p>
        </w:tc>
      </w:tr>
    </w:tbl>
    <w:p w:rsidR="00000000" w:rsidDel="00000000" w:rsidP="00000000" w:rsidRDefault="00000000" w:rsidRPr="00000000" w14:paraId="00000080">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81">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82">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83">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86">
      <w:pPr>
        <w:spacing w:after="0" w:lineRule="auto"/>
        <w:ind w:left="284" w:hanging="1.0000000000000142"/>
        <w:rPr/>
      </w:pPr>
      <w:r w:rsidDel="00000000" w:rsidR="00000000" w:rsidRPr="00000000">
        <w:rPr>
          <w:rtl w:val="0"/>
        </w:rPr>
      </w:r>
    </w:p>
    <w:p w:rsidR="00000000" w:rsidDel="00000000" w:rsidP="00000000" w:rsidRDefault="00000000" w:rsidRPr="00000000" w14:paraId="00000087">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88">
      <w:pPr>
        <w:spacing w:after="0" w:lineRule="auto"/>
        <w:ind w:left="284" w:hanging="1.0000000000000142"/>
        <w:rPr/>
      </w:pPr>
      <w:r w:rsidDel="00000000" w:rsidR="00000000" w:rsidRPr="00000000">
        <w:rPr>
          <w:rtl w:val="0"/>
        </w:rPr>
      </w:r>
    </w:p>
    <w:p w:rsidR="00000000" w:rsidDel="00000000" w:rsidP="00000000" w:rsidRDefault="00000000" w:rsidRPr="00000000" w14:paraId="00000089">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A">
      <w:pPr>
        <w:spacing w:after="0" w:lineRule="auto"/>
        <w:ind w:left="284" w:firstLine="0"/>
        <w:rPr/>
      </w:pPr>
      <w:r w:rsidDel="00000000" w:rsidR="00000000" w:rsidRPr="00000000">
        <w:rPr>
          <w:rtl w:val="0"/>
        </w:rPr>
      </w:r>
    </w:p>
    <w:p w:rsidR="00000000" w:rsidDel="00000000" w:rsidP="00000000" w:rsidRDefault="00000000" w:rsidRPr="00000000" w14:paraId="0000008B">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C">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D">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E">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F">
      <w:pPr>
        <w:numPr>
          <w:ilvl w:val="0"/>
          <w:numId w:val="4"/>
        </w:numPr>
        <w:spacing w:after="0" w:line="276" w:lineRule="auto"/>
        <w:ind w:left="284" w:right="49" w:hanging="360"/>
        <w:rPr/>
      </w:pPr>
      <w:bookmarkStart w:colFirst="0" w:colLast="0" w:name="_heading=h.2xgx5rj1i909" w:id="10"/>
      <w:bookmarkEnd w:id="10"/>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90">
      <w:pPr>
        <w:spacing w:after="0" w:line="276" w:lineRule="auto"/>
        <w:ind w:left="284" w:right="49" w:firstLine="0"/>
        <w:rPr/>
      </w:pPr>
      <w:r w:rsidDel="00000000" w:rsidR="00000000" w:rsidRPr="00000000">
        <w:rPr>
          <w:rtl w:val="0"/>
        </w:rPr>
      </w:r>
    </w:p>
    <w:p w:rsidR="00000000" w:rsidDel="00000000" w:rsidP="00000000" w:rsidRDefault="00000000" w:rsidRPr="00000000" w14:paraId="00000091">
      <w:pPr>
        <w:pStyle w:val="Heading1"/>
        <w:ind w:left="0" w:firstLine="0"/>
        <w:rPr/>
      </w:pPr>
      <w:bookmarkStart w:colFirst="0" w:colLast="0" w:name="_heading=h.1uf9i7mhqkns" w:id="11"/>
      <w:bookmarkEnd w:id="11"/>
      <w:r w:rsidDel="00000000" w:rsidR="00000000" w:rsidRPr="00000000">
        <w:rPr>
          <w:rtl w:val="0"/>
        </w:rPr>
        <w:t xml:space="preserve">2. Postulación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bookmarkStart w:colFirst="0" w:colLast="0" w:name="_heading=h.njlsxns9sz79" w:id="12"/>
      <w:bookmarkEnd w:id="12"/>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94">
      <w:pPr>
        <w:pStyle w:val="Heading2"/>
        <w:rPr/>
      </w:pPr>
      <w:bookmarkStart w:colFirst="0" w:colLast="0" w:name="_heading=h.z1ittq8dkaa3" w:id="13"/>
      <w:bookmarkEnd w:id="13"/>
      <w:r w:rsidDel="00000000" w:rsidR="00000000" w:rsidRPr="00000000">
        <w:rPr>
          <w:rtl w:val="0"/>
        </w:rPr>
        <w:t xml:space="preserve">2.1 Plazos de postulación</w:t>
      </w:r>
    </w:p>
    <w:p w:rsidR="00000000" w:rsidDel="00000000" w:rsidP="00000000" w:rsidRDefault="00000000" w:rsidRPr="00000000" w14:paraId="00000095">
      <w:pPr>
        <w:rPr/>
      </w:pPr>
      <w:r w:rsidDel="00000000" w:rsidR="00000000" w:rsidRPr="00000000">
        <w:rPr>
          <w:rtl w:val="0"/>
        </w:rPr>
        <w:t xml:space="preserve">El plazo para recibir las postulaciones es el siguiente:</w:t>
      </w:r>
    </w:p>
    <w:tbl>
      <w:tblPr>
        <w:tblStyle w:val="Table3"/>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98">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A">
            <w:pPr>
              <w:jc w:val="center"/>
              <w:rPr/>
            </w:pPr>
            <w:r w:rsidDel="00000000" w:rsidR="00000000" w:rsidRPr="00000000">
              <w:rPr>
                <w:rtl w:val="0"/>
              </w:rPr>
              <w:t xml:space="preserve">Inicio Postulación</w:t>
            </w:r>
          </w:p>
        </w:tc>
        <w:tc>
          <w:tcPr/>
          <w:p w:rsidR="00000000" w:rsidDel="00000000" w:rsidP="00000000" w:rsidRDefault="00000000" w:rsidRPr="00000000" w14:paraId="0000009B">
            <w:pPr>
              <w:jc w:val="center"/>
              <w:rPr/>
            </w:pPr>
            <w:r w:rsidDel="00000000" w:rsidR="00000000" w:rsidRPr="00000000">
              <w:rPr>
                <w:rtl w:val="0"/>
              </w:rPr>
              <w:t xml:space="preserve">martes</w:t>
            </w:r>
          </w:p>
        </w:tc>
        <w:tc>
          <w:tcPr/>
          <w:p w:rsidR="00000000" w:rsidDel="00000000" w:rsidP="00000000" w:rsidRDefault="00000000" w:rsidRPr="00000000" w14:paraId="0000009C">
            <w:pPr>
              <w:jc w:val="center"/>
              <w:rPr/>
            </w:pPr>
            <w:r w:rsidDel="00000000" w:rsidR="00000000" w:rsidRPr="00000000">
              <w:rPr>
                <w:rtl w:val="0"/>
              </w:rPr>
              <w:t xml:space="preserve">19 de mayo</w:t>
            </w:r>
          </w:p>
        </w:tc>
        <w:tc>
          <w:tcPr/>
          <w:p w:rsidR="00000000" w:rsidDel="00000000" w:rsidP="00000000" w:rsidRDefault="00000000" w:rsidRPr="00000000" w14:paraId="0000009D">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E">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F">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A0">
            <w:pPr>
              <w:jc w:val="center"/>
              <w:rPr/>
            </w:pPr>
            <w:r w:rsidDel="00000000" w:rsidR="00000000" w:rsidRPr="00000000">
              <w:rPr>
                <w:rtl w:val="0"/>
              </w:rPr>
              <w:t xml:space="preserve">18 de junio</w:t>
            </w:r>
          </w:p>
        </w:tc>
        <w:tc>
          <w:tcPr/>
          <w:p w:rsidR="00000000" w:rsidDel="00000000" w:rsidP="00000000" w:rsidRDefault="00000000" w:rsidRPr="00000000" w14:paraId="000000A1">
            <w:pPr>
              <w:jc w:val="center"/>
              <w:rPr/>
            </w:pPr>
            <w:r w:rsidDel="00000000" w:rsidR="00000000" w:rsidRPr="00000000">
              <w:rPr>
                <w:rtl w:val="0"/>
              </w:rPr>
              <w:t xml:space="preserve">15:00 hrs</w:t>
            </w:r>
          </w:p>
        </w:tc>
      </w:tr>
    </w:tbl>
    <w:p w:rsidR="00000000" w:rsidDel="00000000" w:rsidP="00000000" w:rsidRDefault="00000000" w:rsidRPr="00000000" w14:paraId="000000A2">
      <w:pPr>
        <w:pStyle w:val="Heading2"/>
        <w:ind w:left="574" w:firstLine="0"/>
        <w:rPr/>
      </w:pPr>
      <w:bookmarkStart w:colFirst="0" w:colLast="0" w:name="_heading=h.4l6ptj89hvsw" w:id="14"/>
      <w:bookmarkEnd w:id="14"/>
      <w:r w:rsidDel="00000000" w:rsidR="00000000" w:rsidRPr="00000000">
        <w:rPr>
          <w:rtl w:val="0"/>
        </w:rPr>
        <w:t xml:space="preserve">2.2 Pasos para postular</w:t>
      </w:r>
    </w:p>
    <w:p w:rsidR="00000000" w:rsidDel="00000000" w:rsidP="00000000" w:rsidRDefault="00000000" w:rsidRPr="00000000" w14:paraId="000000A3">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4">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A5">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A6">
      <w:pPr>
        <w:pStyle w:val="Heading2"/>
        <w:ind w:left="574" w:firstLine="0"/>
        <w:rPr/>
      </w:pPr>
      <w:bookmarkStart w:colFirst="0" w:colLast="0" w:name="_heading=h.nrai6j49dpqo" w:id="15"/>
      <w:bookmarkEnd w:id="15"/>
      <w:r w:rsidDel="00000000" w:rsidR="00000000" w:rsidRPr="00000000">
        <w:rPr>
          <w:rtl w:val="0"/>
        </w:rPr>
        <w:t xml:space="preserve">2.3 Apoyo en el proceso de postulación</w:t>
      </w:r>
    </w:p>
    <w:p w:rsidR="00000000" w:rsidDel="00000000" w:rsidP="00000000" w:rsidRDefault="00000000" w:rsidRPr="00000000" w14:paraId="000000A7">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8">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9">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A">
      <w:pPr>
        <w:pStyle w:val="Heading1"/>
        <w:numPr>
          <w:ilvl w:val="0"/>
          <w:numId w:val="11"/>
        </w:numPr>
        <w:ind w:left="360" w:hanging="360"/>
        <w:rPr/>
      </w:pPr>
      <w:bookmarkStart w:colFirst="0" w:colLast="0" w:name="_heading=h.5apbzwz2g1eq" w:id="16"/>
      <w:bookmarkEnd w:id="16"/>
      <w:r w:rsidDel="00000000" w:rsidR="00000000" w:rsidRPr="00000000">
        <w:rPr>
          <w:rtl w:val="0"/>
        </w:rPr>
        <w:t xml:space="preserve">Evaluación y selección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AD">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AE">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AF">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1">
      <w:pPr>
        <w:pStyle w:val="Heading2"/>
        <w:ind w:left="0" w:firstLine="0"/>
        <w:rPr/>
      </w:pPr>
      <w:bookmarkStart w:colFirst="0" w:colLast="0" w:name="_heading=h.hlx5n0gjdr1a" w:id="17"/>
      <w:bookmarkEnd w:id="17"/>
      <w:r w:rsidDel="00000000" w:rsidR="00000000" w:rsidRPr="00000000">
        <w:rPr>
          <w:rtl w:val="0"/>
        </w:rPr>
        <w:t xml:space="preserve">3.1 Evaluación de admisibilidad manual</w:t>
      </w:r>
    </w:p>
    <w:p w:rsidR="00000000" w:rsidDel="00000000" w:rsidP="00000000" w:rsidRDefault="00000000" w:rsidRPr="00000000" w14:paraId="000000B2">
      <w:pPr>
        <w:spacing w:after="0" w:lineRule="auto"/>
        <w:rPr/>
      </w:pPr>
      <w:bookmarkStart w:colFirst="0" w:colLast="0" w:name="_heading=h.27qk75jrc4v" w:id="18"/>
      <w:bookmarkEnd w:id="18"/>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3">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19"/>
      <w:bookmarkEnd w:id="19"/>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0"/>
      <w:bookmarkEnd w:id="20"/>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C">
      <w:pPr>
        <w:spacing w:after="0" w:line="240" w:lineRule="auto"/>
        <w:rPr/>
      </w:pPr>
      <w:r w:rsidDel="00000000" w:rsidR="00000000" w:rsidRPr="00000000">
        <w:rPr>
          <w:rtl w:val="0"/>
        </w:rPr>
      </w:r>
    </w:p>
    <w:tbl>
      <w:tblPr>
        <w:tblStyle w:val="Table4"/>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D">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E">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CE">
      <w:pPr>
        <w:rPr/>
      </w:pPr>
      <w:bookmarkStart w:colFirst="0" w:colLast="0" w:name="_heading=h.rouvtecmtulj" w:id="21"/>
      <w:bookmarkEnd w:id="21"/>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F">
      <w:pPr>
        <w:pStyle w:val="Heading2"/>
        <w:ind w:left="574" w:firstLine="0"/>
        <w:rPr/>
      </w:pPr>
      <w:bookmarkStart w:colFirst="0" w:colLast="0" w:name="_heading=h.92nz1norb8y6" w:id="22"/>
      <w:bookmarkEnd w:id="22"/>
      <w:r w:rsidDel="00000000" w:rsidR="00000000" w:rsidRPr="00000000">
        <w:rPr>
          <w:rtl w:val="0"/>
        </w:rPr>
        <w:t xml:space="preserve">3.2 Evaluación Técnica</w:t>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5"/>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left"/>
              <w:rPr>
                <w:color w:val="000000"/>
              </w:rPr>
            </w:pPr>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“Provincia domicilio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F">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pStyle w:val="Heading2"/>
        <w:ind w:left="574" w:firstLine="0"/>
        <w:rPr/>
      </w:pPr>
      <w:bookmarkStart w:colFirst="0" w:colLast="0" w:name="_heading=h.o14meqz0tzur" w:id="23"/>
      <w:bookmarkEnd w:id="23"/>
      <w:r w:rsidDel="00000000" w:rsidR="00000000" w:rsidRPr="00000000">
        <w:rPr>
          <w:rtl w:val="0"/>
        </w:rPr>
        <w:t xml:space="preserve">3.3 Comité de Evaluación Regional (CER)</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bookmarkStart w:colFirst="0" w:colLast="0" w:name="_heading=h.d04z4eo61f0s" w:id="24"/>
      <w:bookmarkEnd w:id="24"/>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6"/>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4">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7">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8">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9">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A">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B">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C">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D">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E">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F">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0">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1">
            <w:pPr>
              <w:ind w:left="209" w:firstLine="0"/>
              <w:rPr/>
            </w:pPr>
            <w:r w:rsidDel="00000000" w:rsidR="00000000" w:rsidRPr="00000000">
              <w:rPr>
                <w:rtl w:val="0"/>
              </w:rPr>
            </w:r>
          </w:p>
        </w:tc>
        <w:tc>
          <w:tcPr>
            <w:vAlign w:val="center"/>
          </w:tcPr>
          <w:p w:rsidR="00000000" w:rsidDel="00000000" w:rsidP="00000000" w:rsidRDefault="00000000" w:rsidRPr="00000000" w14:paraId="00000102">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3">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4">
            <w:pPr>
              <w:rPr>
                <w:color w:val="000000"/>
              </w:rPr>
            </w:pPr>
            <w:r w:rsidDel="00000000" w:rsidR="00000000" w:rsidRPr="00000000">
              <w:rPr>
                <w:rtl w:val="0"/>
              </w:rPr>
            </w:r>
          </w:p>
        </w:tc>
        <w:tc>
          <w:tcPr>
            <w:vAlign w:val="center"/>
          </w:tcPr>
          <w:p w:rsidR="00000000" w:rsidDel="00000000" w:rsidP="00000000" w:rsidRDefault="00000000" w:rsidRPr="00000000" w14:paraId="00000105">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6">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7">
            <w:pPr>
              <w:ind w:left="425" w:firstLine="0"/>
              <w:rPr/>
            </w:pPr>
            <w:r w:rsidDel="00000000" w:rsidR="00000000" w:rsidRPr="00000000">
              <w:rPr>
                <w:rtl w:val="0"/>
              </w:rPr>
            </w:r>
          </w:p>
        </w:tc>
        <w:tc>
          <w:tcPr>
            <w:vAlign w:val="center"/>
          </w:tcPr>
          <w:p w:rsidR="00000000" w:rsidDel="00000000" w:rsidP="00000000" w:rsidRDefault="00000000" w:rsidRPr="00000000" w14:paraId="00000108">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A">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10">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7"/>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5">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6">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7">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8">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9">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A">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B">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E">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F">
      <w:pPr>
        <w:pStyle w:val="Heading2"/>
        <w:ind w:left="574" w:firstLine="0"/>
        <w:rPr>
          <w:u w:val="single"/>
        </w:rPr>
      </w:pPr>
      <w:bookmarkStart w:colFirst="0" w:colLast="0" w:name="_heading=h.l0vm67yc71yn" w:id="25"/>
      <w:bookmarkEnd w:id="25"/>
      <w:r w:rsidDel="00000000" w:rsidR="00000000" w:rsidRPr="00000000">
        <w:rPr>
          <w:u w:val="single"/>
          <w:rtl w:val="0"/>
        </w:rPr>
        <w:t xml:space="preserve">Criterios de desempate</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2">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3">
      <w:pPr>
        <w:pStyle w:val="Heading1"/>
        <w:spacing w:after="240" w:lineRule="auto"/>
        <w:ind w:left="425" w:firstLine="0"/>
        <w:rPr>
          <w:sz w:val="24"/>
          <w:szCs w:val="24"/>
          <w:u w:val="single"/>
        </w:rPr>
      </w:pPr>
      <w:bookmarkStart w:colFirst="0" w:colLast="0" w:name="_heading=h.oqwagrb1tkp1" w:id="26"/>
      <w:bookmarkEnd w:id="26"/>
      <w:r w:rsidDel="00000000" w:rsidR="00000000" w:rsidRPr="00000000">
        <w:rPr>
          <w:sz w:val="24"/>
          <w:szCs w:val="24"/>
          <w:u w:val="single"/>
          <w:rtl w:val="0"/>
        </w:rPr>
        <w:t xml:space="preserve">Aviso de resultados</w:t>
      </w:r>
    </w:p>
    <w:p w:rsidR="00000000" w:rsidDel="00000000" w:rsidP="00000000" w:rsidRDefault="00000000" w:rsidRPr="00000000" w14:paraId="00000124">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5">
      <w:pPr>
        <w:pStyle w:val="Heading1"/>
        <w:ind w:left="0" w:firstLine="0"/>
        <w:rPr/>
      </w:pPr>
      <w:bookmarkStart w:colFirst="0" w:colLast="0" w:name="_heading=h.kx7jxvplrjqo" w:id="27"/>
      <w:bookmarkEnd w:id="27"/>
      <w:r w:rsidDel="00000000" w:rsidR="00000000" w:rsidRPr="00000000">
        <w:rPr>
          <w:rtl w:val="0"/>
        </w:rPr>
        <w:t xml:space="preserve">4. Formalización con SERCOTEC</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8">
      <w:pPr>
        <w:pStyle w:val="Heading2"/>
        <w:ind w:left="0" w:firstLine="0"/>
        <w:rPr>
          <w:u w:val="single"/>
        </w:rPr>
      </w:pPr>
      <w:bookmarkStart w:colFirst="0" w:colLast="0" w:name="_heading=h.9gfqzi9uarg2" w:id="28"/>
      <w:bookmarkEnd w:id="28"/>
      <w:r w:rsidDel="00000000" w:rsidR="00000000" w:rsidRPr="00000000">
        <w:rPr>
          <w:u w:val="single"/>
          <w:rtl w:val="0"/>
        </w:rPr>
        <w:t xml:space="preserve">REQUISITOS FORMALIZACIÓN Y FASE DE DESARROLLO</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B">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D">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F">
      <w:pPr>
        <w:pStyle w:val="Heading2"/>
        <w:ind w:left="0" w:firstLine="0"/>
        <w:rPr>
          <w:u w:val="single"/>
        </w:rPr>
      </w:pPr>
      <w:bookmarkStart w:colFirst="0" w:colLast="0" w:name="_heading=h.ifp3dbkobytj" w:id="29"/>
      <w:bookmarkEnd w:id="29"/>
      <w:r w:rsidDel="00000000" w:rsidR="00000000" w:rsidRPr="00000000">
        <w:rPr>
          <w:u w:val="single"/>
          <w:rtl w:val="0"/>
        </w:rPr>
        <w:t xml:space="preserve">Plazos de formalización</w:t>
      </w:r>
    </w:p>
    <w:p w:rsidR="00000000" w:rsidDel="00000000" w:rsidP="00000000" w:rsidRDefault="00000000" w:rsidRPr="00000000" w14:paraId="00000140">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2">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3">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4">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1"/>
        <w:ind w:left="0" w:firstLine="0"/>
        <w:rPr/>
      </w:pPr>
      <w:bookmarkStart w:colFirst="0" w:colLast="0" w:name="_heading=h.7er6khf3r7yt" w:id="30"/>
      <w:bookmarkEnd w:id="30"/>
      <w:r w:rsidDel="00000000" w:rsidR="00000000" w:rsidRPr="00000000">
        <w:rPr>
          <w:rtl w:val="0"/>
        </w:rPr>
        <w:t xml:space="preserve">5. FASE DE DESARROLLO</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A">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B">
      <w:pPr>
        <w:pStyle w:val="Heading2"/>
        <w:ind w:left="0" w:firstLine="0"/>
        <w:rPr/>
      </w:pPr>
      <w:bookmarkStart w:colFirst="0" w:colLast="0" w:name="_heading=h.fiopmi959t9h" w:id="31"/>
      <w:bookmarkEnd w:id="31"/>
      <w:r w:rsidDel="00000000" w:rsidR="00000000" w:rsidRPr="00000000">
        <w:rPr>
          <w:rtl w:val="0"/>
        </w:rPr>
        <w:t xml:space="preserve">5.2 Implementación del Plan de Trabajo</w:t>
      </w:r>
    </w:p>
    <w:p w:rsidR="00000000" w:rsidDel="00000000" w:rsidP="00000000" w:rsidRDefault="00000000" w:rsidRPr="00000000" w14:paraId="0000014C">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D">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E">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F">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50">
      <w:pPr>
        <w:rPr/>
      </w:pPr>
      <w:bookmarkStart w:colFirst="0" w:colLast="0" w:name="_heading=h.mycd5u7nydoy" w:id="32"/>
      <w:bookmarkEnd w:id="32"/>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51">
      <w:pPr>
        <w:rPr/>
      </w:pPr>
      <w:bookmarkStart w:colFirst="0" w:colLast="0" w:name="_heading=h.baq6bdjpemcv" w:id="33"/>
      <w:bookmarkEnd w:id="33"/>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2">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3">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6">
      <w:pPr>
        <w:pStyle w:val="Heading2"/>
        <w:ind w:left="0" w:firstLine="0"/>
        <w:rPr>
          <w:u w:val="single"/>
        </w:rPr>
      </w:pPr>
      <w:bookmarkStart w:colFirst="0" w:colLast="0" w:name="_heading=h.9xzyezjpv13y" w:id="34"/>
      <w:bookmarkEnd w:id="34"/>
      <w:r w:rsidDel="00000000" w:rsidR="00000000" w:rsidRPr="00000000">
        <w:rPr>
          <w:u w:val="single"/>
          <w:rtl w:val="0"/>
        </w:rPr>
        <w:t xml:space="preserve">Ampliación de plazo</w:t>
      </w:r>
    </w:p>
    <w:p w:rsidR="00000000" w:rsidDel="00000000" w:rsidP="00000000" w:rsidRDefault="00000000" w:rsidRPr="00000000" w14:paraId="00000157">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8">
      <w:pPr>
        <w:pStyle w:val="Heading2"/>
        <w:ind w:left="0" w:firstLine="0"/>
        <w:rPr>
          <w:u w:val="single"/>
        </w:rPr>
      </w:pPr>
      <w:bookmarkStart w:colFirst="0" w:colLast="0" w:name="_heading=h.jyku57m4izdo" w:id="35"/>
      <w:bookmarkEnd w:id="35"/>
      <w:r w:rsidDel="00000000" w:rsidR="00000000" w:rsidRPr="00000000">
        <w:rPr>
          <w:u w:val="single"/>
          <w:rtl w:val="0"/>
        </w:rPr>
        <w:t xml:space="preserve">Modificación presupuestaria</w:t>
      </w:r>
    </w:p>
    <w:p w:rsidR="00000000" w:rsidDel="00000000" w:rsidP="00000000" w:rsidRDefault="00000000" w:rsidRPr="00000000" w14:paraId="00000159">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A">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B">
      <w:pPr>
        <w:pStyle w:val="Heading1"/>
        <w:ind w:left="0" w:firstLine="0"/>
        <w:rPr/>
      </w:pPr>
      <w:bookmarkStart w:colFirst="0" w:colLast="0" w:name="_heading=h.24cvun9r5smx" w:id="36"/>
      <w:bookmarkEnd w:id="36"/>
      <w:r w:rsidDel="00000000" w:rsidR="00000000" w:rsidRPr="00000000">
        <w:rPr>
          <w:rtl w:val="0"/>
        </w:rPr>
        <w:t xml:space="preserve">6. Término del proyecto</w:t>
      </w:r>
    </w:p>
    <w:p w:rsidR="00000000" w:rsidDel="00000000" w:rsidP="00000000" w:rsidRDefault="00000000" w:rsidRPr="00000000" w14:paraId="0000015C">
      <w:pPr>
        <w:pStyle w:val="Heading2"/>
        <w:ind w:left="0" w:firstLine="0"/>
        <w:rPr/>
      </w:pPr>
      <w:bookmarkStart w:colFirst="0" w:colLast="0" w:name="_heading=h.z02zk43cean6" w:id="37"/>
      <w:bookmarkEnd w:id="37"/>
      <w:r w:rsidDel="00000000" w:rsidR="00000000" w:rsidRPr="00000000">
        <w:rPr>
          <w:rtl w:val="0"/>
        </w:rPr>
        <w:t xml:space="preserve">6.1 Término normal</w:t>
      </w:r>
    </w:p>
    <w:p w:rsidR="00000000" w:rsidDel="00000000" w:rsidP="00000000" w:rsidRDefault="00000000" w:rsidRPr="00000000" w14:paraId="0000015D">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E">
      <w:pPr>
        <w:pStyle w:val="Heading2"/>
        <w:ind w:left="0" w:firstLine="0"/>
        <w:rPr/>
      </w:pPr>
      <w:bookmarkStart w:colFirst="0" w:colLast="0" w:name="_heading=h.5eprbadr88j2" w:id="38"/>
      <w:bookmarkEnd w:id="38"/>
      <w:r w:rsidDel="00000000" w:rsidR="00000000" w:rsidRPr="00000000">
        <w:rPr>
          <w:rtl w:val="0"/>
        </w:rPr>
        <w:t xml:space="preserve">6.2 Término anticipado</w:t>
      </w:r>
    </w:p>
    <w:p w:rsidR="00000000" w:rsidDel="00000000" w:rsidP="00000000" w:rsidRDefault="00000000" w:rsidRPr="00000000" w14:paraId="0000015F">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60">
      <w:pPr>
        <w:pStyle w:val="Heading3"/>
        <w:numPr>
          <w:ilvl w:val="0"/>
          <w:numId w:val="9"/>
        </w:numPr>
        <w:ind w:left="720" w:hanging="360"/>
        <w:rPr/>
      </w:pPr>
      <w:bookmarkStart w:colFirst="0" w:colLast="0" w:name="_heading=h.ptwenvo5lrqp" w:id="39"/>
      <w:bookmarkEnd w:id="39"/>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61">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2">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3">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4">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5">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6">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7">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8">
      <w:pPr>
        <w:pStyle w:val="Heading3"/>
        <w:numPr>
          <w:ilvl w:val="0"/>
          <w:numId w:val="9"/>
        </w:numPr>
        <w:ind w:left="720" w:hanging="360"/>
        <w:rPr/>
      </w:pPr>
      <w:bookmarkStart w:colFirst="0" w:colLast="0" w:name="_heading=h.dser9rqgdp77" w:id="40"/>
      <w:bookmarkEnd w:id="40"/>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9">
      <w:pPr>
        <w:rPr/>
      </w:pPr>
      <w:bookmarkStart w:colFirst="0" w:colLast="0" w:name="_heading=h.1fob9te" w:id="41"/>
      <w:bookmarkEnd w:id="41"/>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A">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C">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D">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E">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F">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70">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71">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2">
      <w:pPr>
        <w:pStyle w:val="Heading1"/>
        <w:ind w:left="0" w:firstLine="0"/>
        <w:rPr>
          <w:sz w:val="24"/>
          <w:szCs w:val="24"/>
        </w:rPr>
      </w:pPr>
      <w:bookmarkStart w:colFirst="0" w:colLast="0" w:name="_heading=h.9c0r7qmd47t9" w:id="42"/>
      <w:bookmarkEnd w:id="42"/>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5">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7">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8">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9">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A">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B">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C">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D">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E">
      <w:pPr>
        <w:pStyle w:val="Heading1"/>
        <w:ind w:left="0" w:firstLine="0"/>
        <w:rPr/>
      </w:pPr>
      <w:bookmarkStart w:colFirst="0" w:colLast="0" w:name="_heading=h.m2a50dtk33q7" w:id="43"/>
      <w:bookmarkEnd w:id="43"/>
      <w:r w:rsidDel="00000000" w:rsidR="00000000" w:rsidRPr="00000000">
        <w:rPr>
          <w:rtl w:val="0"/>
        </w:rPr>
        <w:t xml:space="preserve">7. Otros</w:t>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4">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5">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6">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9">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D">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2cCQO0EHy6AvnMTZYBUhjc8FBA==">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