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26248150" w:rsidR="00244DD8" w:rsidRDefault="00976C8C">
      <w:pPr>
        <w:spacing w:line="276" w:lineRule="auto"/>
        <w:ind w:left="2627" w:right="2628"/>
        <w:jc w:val="center"/>
        <w:rPr>
          <w:b/>
          <w:sz w:val="44"/>
          <w:szCs w:val="44"/>
        </w:rPr>
      </w:pPr>
      <w:r>
        <w:rPr>
          <w:b/>
          <w:sz w:val="44"/>
          <w:szCs w:val="44"/>
        </w:rPr>
        <w:t xml:space="preserve">REGIÓN </w:t>
      </w:r>
      <w:r w:rsidR="007E082F">
        <w:rPr>
          <w:b/>
          <w:sz w:val="44"/>
          <w:szCs w:val="44"/>
        </w:rPr>
        <w:t>DE ATACAMA</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societal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4D9245F6"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7CC0F0D9" w:rsidR="00244DD8" w:rsidRDefault="00F87075" w:rsidP="00B30FD0">
      <w:pPr>
        <w:pStyle w:val="Ttulo2"/>
        <w:numPr>
          <w:ilvl w:val="0"/>
          <w:numId w:val="0"/>
        </w:numPr>
      </w:pPr>
      <w:r>
        <w:t>2.6 Aporte Empresarial</w:t>
      </w:r>
    </w:p>
    <w:p w14:paraId="27C9F88C" w14:textId="785F45A1"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4A4DD2AC" w:rsidR="00244DD8" w:rsidRDefault="00F87075" w:rsidP="00B30FD0">
      <w:pPr>
        <w:pStyle w:val="Ttulo2"/>
        <w:numPr>
          <w:ilvl w:val="0"/>
          <w:numId w:val="0"/>
        </w:numPr>
      </w:pPr>
      <w:r>
        <w:t>2.7 ¿A quiénes está dirigido?</w:t>
      </w:r>
    </w:p>
    <w:p w14:paraId="5A5F45AF" w14:textId="6AF872BF" w:rsidR="00244DD8"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29480C2D" w14:textId="027F62D3" w:rsidR="007E082F" w:rsidRDefault="007E082F">
      <w:pPr>
        <w:pBdr>
          <w:top w:val="nil"/>
          <w:left w:val="nil"/>
          <w:bottom w:val="nil"/>
          <w:right w:val="nil"/>
          <w:between w:val="nil"/>
        </w:pBdr>
        <w:spacing w:after="0"/>
        <w:rPr>
          <w:color w:val="000000"/>
        </w:rPr>
      </w:pPr>
      <w:r>
        <w:rPr>
          <w:noProof/>
          <w:lang w:val="en-US"/>
        </w:rPr>
        <mc:AlternateContent>
          <mc:Choice Requires="wps">
            <w:drawing>
              <wp:anchor distT="0" distB="0" distL="114300" distR="114300" simplePos="0" relativeHeight="251666432" behindDoc="0" locked="0" layoutInCell="1" allowOverlap="1" wp14:anchorId="6C64B73A" wp14:editId="4B584ECC">
                <wp:simplePos x="0" y="0"/>
                <wp:positionH relativeFrom="margin">
                  <wp:align>right</wp:align>
                </wp:positionH>
                <wp:positionV relativeFrom="paragraph">
                  <wp:posOffset>136525</wp:posOffset>
                </wp:positionV>
                <wp:extent cx="5626100" cy="1562100"/>
                <wp:effectExtent l="0" t="0" r="12700" b="19050"/>
                <wp:wrapNone/>
                <wp:docPr id="2" name="Rectángulo 1"/>
                <wp:cNvGraphicFramePr/>
                <a:graphic xmlns:a="http://schemas.openxmlformats.org/drawingml/2006/main">
                  <a:graphicData uri="http://schemas.microsoft.com/office/word/2010/wordprocessingShape">
                    <wps:wsp>
                      <wps:cNvSpPr/>
                      <wps:spPr>
                        <a:xfrm>
                          <a:off x="0" y="0"/>
                          <a:ext cx="5626100" cy="1562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51B02D2" w14:textId="77777777" w:rsidR="007E082F" w:rsidRPr="007E082F" w:rsidRDefault="007E082F" w:rsidP="007E082F">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0A183870" w14:textId="622608DE" w:rsidR="007E082F" w:rsidRPr="007E082F" w:rsidRDefault="007E082F" w:rsidP="007E082F">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de Fortalecimiento Gremial 2024 y Programa Desarrollo de Ferias Libres 2023, cualquier fuente de financiamiento.</w:t>
                            </w:r>
                            <w:r>
                              <w:rPr>
                                <w:lang w:val="es-CL"/>
                              </w:rPr>
                              <w:br/>
                            </w:r>
                            <w:r>
                              <w:rPr>
                                <w:rFonts w:ascii="Calibri" w:eastAsia="Calibri" w:hAnsi="Calibri" w:cstheme="minorBidi"/>
                                <w:color w:val="000000"/>
                                <w:sz w:val="22"/>
                                <w:szCs w:val="22"/>
                                <w:lang w:val="es-MX"/>
                              </w:rPr>
                              <w:br/>
                              <w:t>- Asimismo, se excluye a organizaciones beneficiadas del Programa Especial de Fortalecimiento de Barrios Comerciales, región de Atacama.</w:t>
                            </w:r>
                          </w:p>
                          <w:p w14:paraId="261EA394" w14:textId="7F35955B" w:rsidR="007E082F" w:rsidRDefault="007E082F" w:rsidP="007E082F">
                            <w:pPr>
                              <w:pStyle w:val="NormalWeb"/>
                              <w:spacing w:before="0" w:beforeAutospacing="0" w:after="160" w:afterAutospacing="0" w:line="256" w:lineRule="auto"/>
                              <w:jc w:val="both"/>
                              <w:rPr>
                                <w:rFonts w:ascii="Calibri" w:eastAsia="Calibri" w:hAnsi="Calibri" w:cstheme="minorBidi"/>
                                <w:color w:val="000000"/>
                                <w:sz w:val="22"/>
                                <w:szCs w:val="22"/>
                                <w:lang w:val="es-MX"/>
                              </w:rPr>
                            </w:pPr>
                          </w:p>
                          <w:p w14:paraId="45AFC4C9" w14:textId="0D03C890" w:rsidR="007E082F" w:rsidRDefault="007E082F" w:rsidP="007E082F">
                            <w:pPr>
                              <w:pStyle w:val="NormalWeb"/>
                              <w:spacing w:before="0" w:beforeAutospacing="0" w:after="160" w:afterAutospacing="0" w:line="256" w:lineRule="auto"/>
                              <w:jc w:val="both"/>
                              <w:rPr>
                                <w:rFonts w:ascii="Calibri" w:eastAsia="Calibri" w:hAnsi="Calibri" w:cstheme="minorBidi"/>
                                <w:color w:val="000000"/>
                                <w:sz w:val="22"/>
                                <w:szCs w:val="22"/>
                                <w:lang w:val="es-MX"/>
                              </w:rPr>
                            </w:pPr>
                          </w:p>
                          <w:p w14:paraId="6531FFD2" w14:textId="77777777" w:rsidR="007E082F" w:rsidRPr="007E082F" w:rsidRDefault="007E082F" w:rsidP="007E082F">
                            <w:pPr>
                              <w:pStyle w:val="NormalWeb"/>
                              <w:spacing w:before="0" w:beforeAutospacing="0" w:after="160" w:afterAutospacing="0" w:line="256" w:lineRule="auto"/>
                              <w:jc w:val="both"/>
                              <w:rPr>
                                <w:lang w:val="es-CL"/>
                              </w:rPr>
                            </w:pPr>
                          </w:p>
                        </w:txbxContent>
                      </wps:txbx>
                      <wps:bodyPr spcFirstLastPara="1" wrap="square" lIns="91425" tIns="45700" rIns="91425" bIns="45700" anchor="t" anchorCtr="0">
                        <a:noAutofit/>
                      </wps:bodyPr>
                    </wps:wsp>
                  </a:graphicData>
                </a:graphic>
              </wp:anchor>
            </w:drawing>
          </mc:Choice>
          <mc:Fallback>
            <w:pict>
              <v:rect w14:anchorId="6C64B73A" id="Rectángulo 1" o:spid="_x0000_s1026" style="position:absolute;left:0;text-align:left;margin-left:391.8pt;margin-top:10.75pt;width:443pt;height:123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" fillcolor="#c4e0b2" strokeweight="1pt">
                <v:stroke startarrowwidth="narrow" startarrowlength="short" endarrowwidth="narrow" endarrowlength="short"/>
                <v:textbox inset="2.53958mm,1.2694mm,2.53958mm,1.2694mm">
                  <w:txbxContent>
                    <w:p w14:paraId="151B02D2" w14:textId="77777777" w:rsidR="007E082F" w:rsidRPr="007E082F" w:rsidRDefault="007E082F" w:rsidP="007E082F">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0A183870" w14:textId="622608DE" w:rsidR="007E082F" w:rsidRPr="007E082F" w:rsidRDefault="007E082F" w:rsidP="007E082F">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de Fortalecimiento Gremial 2024 y Programa Desarrollo de Ferias Libres 2023, cualquier fuente de financiamiento.</w:t>
                      </w:r>
                      <w:r>
                        <w:rPr>
                          <w:lang w:val="es-CL"/>
                        </w:rPr>
                        <w:br/>
                      </w:r>
                      <w:r>
                        <w:rPr>
                          <w:rFonts w:ascii="Calibri" w:eastAsia="Calibri" w:hAnsi="Calibri" w:cstheme="minorBidi"/>
                          <w:color w:val="000000"/>
                          <w:sz w:val="22"/>
                          <w:szCs w:val="22"/>
                          <w:lang w:val="es-MX"/>
                        </w:rPr>
                        <w:br/>
                        <w:t>- Asimismo, se excluye a organizaciones beneficiadas del Programa Especial de Fortalecimiento de Barrios Comerciales, región de Atacama.</w:t>
                      </w:r>
                    </w:p>
                    <w:p w14:paraId="261EA394" w14:textId="7F35955B" w:rsidR="007E082F" w:rsidRDefault="007E082F" w:rsidP="007E082F">
                      <w:pPr>
                        <w:pStyle w:val="NormalWeb"/>
                        <w:spacing w:before="0" w:beforeAutospacing="0" w:after="160" w:afterAutospacing="0" w:line="256" w:lineRule="auto"/>
                        <w:jc w:val="both"/>
                        <w:rPr>
                          <w:rFonts w:ascii="Calibri" w:eastAsia="Calibri" w:hAnsi="Calibri" w:cstheme="minorBidi"/>
                          <w:color w:val="000000"/>
                          <w:sz w:val="22"/>
                          <w:szCs w:val="22"/>
                          <w:lang w:val="es-MX"/>
                        </w:rPr>
                      </w:pPr>
                    </w:p>
                    <w:p w14:paraId="45AFC4C9" w14:textId="0D03C890" w:rsidR="007E082F" w:rsidRDefault="007E082F" w:rsidP="007E082F">
                      <w:pPr>
                        <w:pStyle w:val="NormalWeb"/>
                        <w:spacing w:before="0" w:beforeAutospacing="0" w:after="160" w:afterAutospacing="0" w:line="256" w:lineRule="auto"/>
                        <w:jc w:val="both"/>
                        <w:rPr>
                          <w:rFonts w:ascii="Calibri" w:eastAsia="Calibri" w:hAnsi="Calibri" w:cstheme="minorBidi"/>
                          <w:color w:val="000000"/>
                          <w:sz w:val="22"/>
                          <w:szCs w:val="22"/>
                          <w:lang w:val="es-MX"/>
                        </w:rPr>
                      </w:pPr>
                    </w:p>
                    <w:p w14:paraId="6531FFD2" w14:textId="77777777" w:rsidR="007E082F" w:rsidRPr="007E082F" w:rsidRDefault="007E082F" w:rsidP="007E082F">
                      <w:pPr>
                        <w:pStyle w:val="NormalWeb"/>
                        <w:spacing w:before="0" w:beforeAutospacing="0" w:after="160" w:afterAutospacing="0" w:line="256" w:lineRule="auto"/>
                        <w:jc w:val="both"/>
                        <w:rPr>
                          <w:lang w:val="es-CL"/>
                        </w:rPr>
                      </w:pPr>
                    </w:p>
                  </w:txbxContent>
                </v:textbox>
                <w10:wrap anchorx="margin"/>
              </v:rect>
            </w:pict>
          </mc:Fallback>
        </mc:AlternateContent>
      </w:r>
    </w:p>
    <w:p w14:paraId="016594E7" w14:textId="254792C8" w:rsidR="007E082F" w:rsidRDefault="007E082F">
      <w:pPr>
        <w:pBdr>
          <w:top w:val="nil"/>
          <w:left w:val="nil"/>
          <w:bottom w:val="nil"/>
          <w:right w:val="nil"/>
          <w:between w:val="nil"/>
        </w:pBdr>
        <w:spacing w:after="0"/>
        <w:rPr>
          <w:color w:val="000000"/>
        </w:rPr>
      </w:pPr>
    </w:p>
    <w:p w14:paraId="33F2247F" w14:textId="02CFC8EA" w:rsidR="007E082F" w:rsidRDefault="007E082F">
      <w:pPr>
        <w:pBdr>
          <w:top w:val="nil"/>
          <w:left w:val="nil"/>
          <w:bottom w:val="nil"/>
          <w:right w:val="nil"/>
          <w:between w:val="nil"/>
        </w:pBdr>
        <w:spacing w:after="0"/>
        <w:rPr>
          <w:color w:val="000000"/>
        </w:rPr>
      </w:pPr>
    </w:p>
    <w:p w14:paraId="45C36577" w14:textId="6ABFCC44" w:rsidR="007E082F" w:rsidRDefault="007E082F">
      <w:pPr>
        <w:pBdr>
          <w:top w:val="nil"/>
          <w:left w:val="nil"/>
          <w:bottom w:val="nil"/>
          <w:right w:val="nil"/>
          <w:between w:val="nil"/>
        </w:pBdr>
        <w:spacing w:after="0"/>
        <w:rPr>
          <w:color w:val="000000"/>
        </w:rPr>
      </w:pPr>
    </w:p>
    <w:p w14:paraId="04F31903" w14:textId="2910D9E0" w:rsidR="007E082F" w:rsidRDefault="007E082F">
      <w:pPr>
        <w:pBdr>
          <w:top w:val="nil"/>
          <w:left w:val="nil"/>
          <w:bottom w:val="nil"/>
          <w:right w:val="nil"/>
          <w:between w:val="nil"/>
        </w:pBdr>
        <w:spacing w:after="0"/>
        <w:rPr>
          <w:color w:val="000000"/>
        </w:rPr>
      </w:pPr>
    </w:p>
    <w:p w14:paraId="06832060" w14:textId="6CB97EAB" w:rsidR="007E082F" w:rsidRDefault="007E082F">
      <w:pPr>
        <w:pBdr>
          <w:top w:val="nil"/>
          <w:left w:val="nil"/>
          <w:bottom w:val="nil"/>
          <w:right w:val="nil"/>
          <w:between w:val="nil"/>
        </w:pBdr>
        <w:spacing w:after="0"/>
        <w:rPr>
          <w:color w:val="000000"/>
        </w:rPr>
      </w:pPr>
    </w:p>
    <w:p w14:paraId="28F8C7DB" w14:textId="57A05BAA" w:rsidR="007E082F" w:rsidRDefault="007E082F">
      <w:pPr>
        <w:pBdr>
          <w:top w:val="nil"/>
          <w:left w:val="nil"/>
          <w:bottom w:val="nil"/>
          <w:right w:val="nil"/>
          <w:between w:val="nil"/>
        </w:pBdr>
        <w:spacing w:after="0"/>
        <w:rPr>
          <w:color w:val="000000"/>
        </w:rPr>
      </w:pPr>
    </w:p>
    <w:p w14:paraId="61D732C0" w14:textId="0E558942" w:rsidR="007E082F" w:rsidRDefault="007E082F">
      <w:pPr>
        <w:pBdr>
          <w:top w:val="nil"/>
          <w:left w:val="nil"/>
          <w:bottom w:val="nil"/>
          <w:right w:val="nil"/>
          <w:between w:val="nil"/>
        </w:pBdr>
        <w:spacing w:after="0"/>
        <w:rPr>
          <w:color w:val="000000"/>
        </w:rPr>
      </w:pPr>
    </w:p>
    <w:p w14:paraId="60F46199" w14:textId="05B9FBF0" w:rsidR="007E082F" w:rsidRDefault="007E082F">
      <w:pPr>
        <w:pBdr>
          <w:top w:val="nil"/>
          <w:left w:val="nil"/>
          <w:bottom w:val="nil"/>
          <w:right w:val="nil"/>
          <w:between w:val="nil"/>
        </w:pBdr>
        <w:spacing w:after="0"/>
        <w:rPr>
          <w:color w:val="000000"/>
        </w:rPr>
      </w:pPr>
    </w:p>
    <w:p w14:paraId="7B2ACF91" w14:textId="177606FA" w:rsidR="007E082F" w:rsidRDefault="007E082F">
      <w:pPr>
        <w:pBdr>
          <w:top w:val="nil"/>
          <w:left w:val="nil"/>
          <w:bottom w:val="nil"/>
          <w:right w:val="nil"/>
          <w:between w:val="nil"/>
        </w:pBdr>
        <w:spacing w:after="0"/>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lastRenderedPageBreak/>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lastRenderedPageBreak/>
        <w:t>2.10</w:t>
      </w:r>
      <w:r w:rsidR="00B30FD0">
        <w:t xml:space="preserve"> </w:t>
      </w:r>
      <w:r>
        <w:t>¿Qué financia este programa?</w:t>
      </w:r>
    </w:p>
    <w:p w14:paraId="496BFC15" w14:textId="77777777" w:rsidR="00244DD8" w:rsidRDefault="00F87075">
      <w:r>
        <w:t>A continuación, se detallan los ítems de gastos financiables de este programa, los cuales deben tener directa relación con los ámbitos identificados en el punto 2 de estas bases:</w:t>
      </w:r>
    </w:p>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lastRenderedPageBreak/>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14ADF143" w:rsidR="00244DD8" w:rsidRDefault="00976C8C" w:rsidP="00976C8C">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3758B243" w:rsidR="00244DD8" w:rsidRDefault="00976C8C">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12:00 hrs.</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15:00 hrs.</w:t>
            </w:r>
          </w:p>
        </w:tc>
      </w:tr>
    </w:tbl>
    <w:p w14:paraId="2303F771" w14:textId="77777777" w:rsidR="00244DD8" w:rsidRDefault="00F87075">
      <w:pPr>
        <w:pStyle w:val="Ttulo2"/>
        <w:numPr>
          <w:ilvl w:val="1"/>
          <w:numId w:val="24"/>
        </w:numPr>
      </w:pPr>
      <w:r>
        <w:lastRenderedPageBreak/>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8C6B62">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w:t>
      </w:r>
      <w:r>
        <w:lastRenderedPageBreak/>
        <w:t>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600856E" w:rsidR="00090EE4" w:rsidRPr="00976C8C"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w:t>
          </w:r>
          <w:r>
            <w:rPr>
              <w:color w:val="000000"/>
            </w:rPr>
            <w:lastRenderedPageBreak/>
            <w:t xml:space="preserve">podrá determinar la nota de corte que definirá las organizaciones que </w:t>
          </w:r>
          <w:r>
            <w:t>pasarán a la siguiente</w:t>
          </w:r>
          <w:r>
            <w:rPr>
              <w:color w:val="000000"/>
            </w:rPr>
            <w:t xml:space="preserve"> etapa, de acuerdo a la disponibilidad presupuestaria regional.</w:t>
          </w:r>
          <w:r w:rsidR="00976C8C">
            <w:t xml:space="preserve"> </w:t>
          </w:r>
        </w:p>
      </w:sdtContent>
    </w:sdt>
    <w:tbl>
      <w:tblPr>
        <w:tblW w:w="9700" w:type="dxa"/>
        <w:tblLook w:val="04A0" w:firstRow="1" w:lastRow="0" w:firstColumn="1" w:lastColumn="0" w:noHBand="0" w:noVBand="1"/>
      </w:tblPr>
      <w:tblGrid>
        <w:gridCol w:w="7640"/>
        <w:gridCol w:w="2060"/>
      </w:tblGrid>
      <w:tr w:rsidR="007E082F" w:rsidRPr="007E082F" w14:paraId="6104C727" w14:textId="77777777" w:rsidTr="007E082F">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14B4393E" w14:textId="77777777" w:rsidR="007E082F" w:rsidRPr="007E082F" w:rsidRDefault="007E082F" w:rsidP="007E082F">
            <w:pPr>
              <w:spacing w:after="0" w:line="240" w:lineRule="auto"/>
              <w:jc w:val="center"/>
              <w:rPr>
                <w:rFonts w:eastAsia="Times New Roman"/>
                <w:b/>
                <w:bCs/>
                <w:color w:val="000000"/>
                <w:lang w:val="es-CL"/>
              </w:rPr>
            </w:pPr>
            <w:r w:rsidRPr="007E082F">
              <w:rPr>
                <w:rFonts w:eastAsia="Times New Roman"/>
                <w:b/>
                <w:bCs/>
                <w:color w:val="000000"/>
                <w:lang w:val="es-CL"/>
              </w:rPr>
              <w:t>CUADRO N° 2: CRITERIOS EVALUACIÓN TÉCNICA</w:t>
            </w:r>
          </w:p>
        </w:tc>
      </w:tr>
      <w:tr w:rsidR="007E082F" w:rsidRPr="007E082F" w14:paraId="674D0124" w14:textId="77777777" w:rsidTr="007E082F">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0F5915E3" w14:textId="77777777" w:rsidR="007E082F" w:rsidRPr="007E082F" w:rsidRDefault="007E082F" w:rsidP="007E082F">
            <w:pPr>
              <w:spacing w:after="0" w:line="240" w:lineRule="auto"/>
              <w:jc w:val="center"/>
              <w:rPr>
                <w:rFonts w:eastAsia="Times New Roman"/>
                <w:b/>
                <w:bCs/>
                <w:color w:val="000000"/>
                <w:lang w:val="es-CL"/>
              </w:rPr>
            </w:pPr>
            <w:r w:rsidRPr="007E082F">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67A95C76" w14:textId="77777777" w:rsidR="007E082F" w:rsidRPr="007E082F" w:rsidRDefault="007E082F" w:rsidP="007E082F">
            <w:pPr>
              <w:spacing w:after="0" w:line="240" w:lineRule="auto"/>
              <w:jc w:val="center"/>
              <w:rPr>
                <w:rFonts w:eastAsia="Times New Roman"/>
                <w:b/>
                <w:bCs/>
                <w:color w:val="000000"/>
                <w:lang w:val="es-CL"/>
              </w:rPr>
            </w:pPr>
            <w:r w:rsidRPr="007E082F">
              <w:rPr>
                <w:rFonts w:eastAsia="Times New Roman"/>
                <w:b/>
                <w:bCs/>
                <w:color w:val="000000"/>
                <w:lang w:val="es-CL"/>
              </w:rPr>
              <w:t>Ponderación</w:t>
            </w:r>
          </w:p>
        </w:tc>
      </w:tr>
      <w:tr w:rsidR="007E082F" w:rsidRPr="007E082F" w14:paraId="4A866CCB" w14:textId="77777777" w:rsidTr="007E082F">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031BFF6"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1.</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5F9DF9D6"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5%</w:t>
            </w:r>
          </w:p>
        </w:tc>
      </w:tr>
      <w:tr w:rsidR="007E082F" w:rsidRPr="007E082F" w14:paraId="76A7978F" w14:textId="77777777" w:rsidTr="007E082F">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20890B9"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2.</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3DA4CF0A"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10%</w:t>
            </w:r>
          </w:p>
        </w:tc>
      </w:tr>
      <w:tr w:rsidR="007E082F" w:rsidRPr="007E082F" w14:paraId="69109FB6" w14:textId="77777777" w:rsidTr="007E082F">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66E3C7E"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3.</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1E1364D9"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10%</w:t>
            </w:r>
          </w:p>
        </w:tc>
      </w:tr>
      <w:tr w:rsidR="007E082F" w:rsidRPr="007E082F" w14:paraId="006FD5AA" w14:textId="77777777" w:rsidTr="007E082F">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DCC02E0"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4.</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56972B95"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10%</w:t>
            </w:r>
          </w:p>
        </w:tc>
      </w:tr>
      <w:tr w:rsidR="007E082F" w:rsidRPr="007E082F" w14:paraId="3F7A5F6E" w14:textId="77777777" w:rsidTr="007E082F">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D6488C3"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5.</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74DF8EE8"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10%</w:t>
            </w:r>
          </w:p>
        </w:tc>
      </w:tr>
      <w:tr w:rsidR="007E082F" w:rsidRPr="007E082F" w14:paraId="5668F74B" w14:textId="77777777" w:rsidTr="007E082F">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4ABD042"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6.</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5E6150E3"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10%</w:t>
            </w:r>
          </w:p>
        </w:tc>
      </w:tr>
      <w:tr w:rsidR="007E082F" w:rsidRPr="007E082F" w14:paraId="1E766B75" w14:textId="77777777" w:rsidTr="007E082F">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3E3E87E"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7.</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295AE0FF"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15%</w:t>
            </w:r>
          </w:p>
        </w:tc>
      </w:tr>
      <w:tr w:rsidR="007E082F" w:rsidRPr="007E082F" w14:paraId="05F1C067" w14:textId="77777777" w:rsidTr="007E082F">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00532A8"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8.</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227537FE"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15%</w:t>
            </w:r>
          </w:p>
        </w:tc>
      </w:tr>
      <w:tr w:rsidR="007E082F" w:rsidRPr="007E082F" w14:paraId="51BAD9CF" w14:textId="77777777" w:rsidTr="007E082F">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66EDA94"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9.</w:t>
            </w:r>
            <w:r w:rsidRPr="007E082F">
              <w:rPr>
                <w:rFonts w:ascii="Times New Roman" w:eastAsia="Times New Roman" w:hAnsi="Times New Roman" w:cs="Times New Roman"/>
                <w:color w:val="000000"/>
                <w:sz w:val="14"/>
                <w:szCs w:val="14"/>
                <w:lang w:val="es-CL"/>
              </w:rPr>
              <w:t xml:space="preserve">   </w:t>
            </w:r>
            <w:r w:rsidRPr="007E082F">
              <w:rPr>
                <w:rFonts w:eastAsia="Times New Roman"/>
                <w:color w:val="000000"/>
                <w:lang w:val="es-CL"/>
              </w:rPr>
              <w:t xml:space="preserve"> Organizaciones con domicilio en comunas priorizadas</w:t>
            </w:r>
          </w:p>
        </w:tc>
        <w:tc>
          <w:tcPr>
            <w:tcW w:w="2060" w:type="dxa"/>
            <w:tcBorders>
              <w:top w:val="nil"/>
              <w:left w:val="nil"/>
              <w:bottom w:val="single" w:sz="8" w:space="0" w:color="000000"/>
              <w:right w:val="single" w:sz="8" w:space="0" w:color="000000"/>
            </w:tcBorders>
            <w:shd w:val="clear" w:color="auto" w:fill="auto"/>
            <w:vAlign w:val="center"/>
            <w:hideMark/>
          </w:tcPr>
          <w:p w14:paraId="05C42B39" w14:textId="77777777" w:rsidR="007E082F" w:rsidRPr="007E082F" w:rsidRDefault="007E082F" w:rsidP="007E082F">
            <w:pPr>
              <w:spacing w:after="0" w:line="240" w:lineRule="auto"/>
              <w:jc w:val="center"/>
              <w:rPr>
                <w:rFonts w:eastAsia="Times New Roman"/>
                <w:color w:val="000000"/>
                <w:lang w:val="en-US"/>
              </w:rPr>
            </w:pPr>
            <w:r w:rsidRPr="007E082F">
              <w:rPr>
                <w:rFonts w:eastAsia="Times New Roman"/>
                <w:color w:val="000000"/>
                <w:lang w:val="en-US"/>
              </w:rPr>
              <w:t>15%</w:t>
            </w:r>
          </w:p>
        </w:tc>
      </w:tr>
      <w:tr w:rsidR="007E082F" w:rsidRPr="007E082F" w14:paraId="58F32C64" w14:textId="77777777" w:rsidTr="007E082F">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0842CB92" w14:textId="77777777" w:rsidR="007E082F" w:rsidRPr="007E082F" w:rsidRDefault="007E082F" w:rsidP="007E082F">
            <w:pPr>
              <w:spacing w:after="0" w:line="240" w:lineRule="auto"/>
              <w:jc w:val="center"/>
              <w:rPr>
                <w:rFonts w:eastAsia="Times New Roman"/>
                <w:b/>
                <w:bCs/>
                <w:color w:val="000000"/>
                <w:lang w:val="en-US"/>
              </w:rPr>
            </w:pPr>
            <w:r w:rsidRPr="007E082F">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05884CB3" w14:textId="77777777" w:rsidR="007E082F" w:rsidRPr="007E082F" w:rsidRDefault="007E082F" w:rsidP="007E082F">
            <w:pPr>
              <w:spacing w:after="0" w:line="240" w:lineRule="auto"/>
              <w:jc w:val="center"/>
              <w:rPr>
                <w:rFonts w:eastAsia="Times New Roman"/>
                <w:b/>
                <w:bCs/>
                <w:color w:val="000000"/>
                <w:lang w:val="en-US"/>
              </w:rPr>
            </w:pPr>
            <w:r w:rsidRPr="007E082F">
              <w:rPr>
                <w:rFonts w:eastAsia="Times New Roman"/>
                <w:b/>
                <w:bCs/>
                <w:color w:val="000000"/>
                <w:lang w:val="en-US"/>
              </w:rPr>
              <w:t>100%</w:t>
            </w:r>
          </w:p>
        </w:tc>
      </w:tr>
    </w:tbl>
    <w:p w14:paraId="6ECD3BAC" w14:textId="2FCC2005" w:rsidR="00976C8C" w:rsidRPr="00333AC8" w:rsidRDefault="00976C8C" w:rsidP="007E082F">
      <w:pPr>
        <w:pBdr>
          <w:top w:val="nil"/>
          <w:left w:val="nil"/>
          <w:bottom w:val="nil"/>
          <w:right w:val="nil"/>
          <w:between w:val="nil"/>
        </w:pBdr>
        <w:rPr>
          <w:color w:val="000000"/>
        </w:rPr>
      </w:pPr>
    </w:p>
    <w:p w14:paraId="0CEAFC17" w14:textId="2F56B2F3" w:rsidR="00976C8C" w:rsidRPr="00976C8C" w:rsidRDefault="00F87075" w:rsidP="00976C8C">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8C6B62">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8C6B62">
      <w:sdt>
        <w:sdtPr>
          <w:tag w:val="goog_rdk_36"/>
          <w:id w:val="-1412390000"/>
        </w:sdtPr>
        <w:sdtEndPr/>
        <w:sdtContent>
          <w:r w:rsidR="00F87075">
            <w:t>Con la finalidad de socializar el desarrollo del programa e incentivar la participación de la base societaria, antes de iniciar la ejecución del plan de trabajo se deberá llevar a cabo una reunión de kick-off,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8C6B62">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5CD96A64"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excel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Formación dirigencial.</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Merchandising:</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Packaging:</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elementos tecnológicos: equipos computacionales, balanzas digitales, pesas, MPOS, boleta electrónica, RedCompra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Sistemas solares térmicos para agua caliente sanitaria: paneles termo solares, estanques de acumulación, elementos mecánicos, cañerías y fitting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radieres,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 de refrigeración para transporte de alimentos fríos en vehículo de trabajo u otros similares. Incluye invernaderos, containers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8C6B62"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8:30 a 13:00 y de 14:30 a 18:00 hrs.</w:t>
            </w:r>
            <w:r w:rsidRPr="00CC0AF1">
              <w:rPr>
                <w:rFonts w:eastAsia="Arial" w:cs="Arial"/>
                <w:kern w:val="2"/>
                <w:sz w:val="18"/>
                <w:szCs w:val="18"/>
              </w:rPr>
              <w:br/>
              <w:t>Viernes de 8:30 a 13:00 y de 14:30 a 16:00 hrs.</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8C6B62"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9:00 a 13:00 y de 14:30 a 18:00 hrs.</w:t>
            </w:r>
            <w:r w:rsidRPr="00CC0AF1">
              <w:rPr>
                <w:rFonts w:eastAsia="Arial" w:cs="Arial"/>
                <w:kern w:val="2"/>
                <w:sz w:val="18"/>
                <w:szCs w:val="18"/>
              </w:rPr>
              <w:br/>
              <w:t>Viernes de 09:00 a 13:00 y de 14:30 a 16:00 hrs.</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8C6B62"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08:30 a 13:00 y de 14:00 a 17:30 hrs.</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8C6B62"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 Copayapu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de 15:00 a 18:00 hrs.</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14:30 a 16:00 hrs.</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8C6B62"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8C6B62"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Errázuriz 1178, piso 6, Edificio Olivarí,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de 14:30 a 18:00 hrs.</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de 14:30 a 16:00 hrs.</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8C6B62"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9:00 a 13:00 y de 14:00 a 18:00 hrs.</w:t>
            </w:r>
            <w:r w:rsidRPr="00CC0AF1">
              <w:rPr>
                <w:rFonts w:eastAsia="Arial" w:cs="Arial"/>
                <w:kern w:val="2"/>
                <w:sz w:val="18"/>
                <w:szCs w:val="18"/>
              </w:rPr>
              <w:br/>
              <w:t>Viernes de 9:00 a 13:00 y de 14:00 a 16:00 hrs.</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8C6B62"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hrs.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hrs y de 14:00 a 15:30 hrs.</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8C6B62"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09:00 a  13:00 y de 14:30 a 18:00 hrs.</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8C6B62"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13:00 hrs.</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8C6B62"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8C6B62"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16:00 hrs-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8C6B62"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(Whatsapp)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 a 13:00 y de 14:00 a 18:00 hrs.</w:t>
            </w:r>
            <w:r w:rsidRPr="00CC0AF1">
              <w:rPr>
                <w:rFonts w:eastAsia="Arial" w:cs="Arial"/>
                <w:kern w:val="2"/>
                <w:sz w:val="18"/>
                <w:szCs w:val="18"/>
              </w:rPr>
              <w:br/>
              <w:t>Viernes de 9 a 13:00 y de 14:00 a 16:00 hrs.</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8C6B62"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(Whatsapp)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8C6B62"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(Whatsapp)</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Darío Barrueto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8C6B62"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13:30 y 14:30 a 18:00 hrs.</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8C6B62"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Lautaro 226, piso 2, Edificio Gobernación Provincial de Malleco,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13:30 y de 14:30 a 18:00 hrs.</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8C6B62"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14:30 a 18:30 hrs.</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14:30 a 16:15 hrs.</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8C6B62"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8C6B62"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8C6B62"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8C6B62"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08:30 a 13:30 hrs y 14:30 a 18:00 hrs.</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13:30 hrs. Y de 14:30 a 16:00 hrs.</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8C6B62"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8:30 a 13:00 y de 14:30 a 18:30 hrs.</w:t>
            </w:r>
            <w:r w:rsidRPr="00CC0AF1">
              <w:rPr>
                <w:rFonts w:eastAsia="Arial" w:cs="Arial"/>
                <w:kern w:val="2"/>
                <w:sz w:val="18"/>
                <w:szCs w:val="18"/>
              </w:rPr>
              <w:br/>
              <w:t>Viernes de 8:30 a 13:00 y de 14:30 a 16:00 hrs.</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8C6B62"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En___________, a __________de__________________ de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En __________, a ______ de _________________ de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subítems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subítems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Capital de Trabajo y sus respectivos subítems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En __________, a _______ de ________________________ de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En____________, a ____ de _____________ de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de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976C8C">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asociados; beneficios sociales, servicios, capacitaciones, etc).</w:t>
            </w:r>
          </w:p>
        </w:tc>
      </w:tr>
      <w:tr w:rsidR="00244DD8" w14:paraId="149601EA" w14:textId="77777777" w:rsidTr="00976C8C">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976C8C">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860" w:type="dxa"/>
        <w:tblLook w:val="04A0" w:firstRow="1" w:lastRow="0" w:firstColumn="1" w:lastColumn="0" w:noHBand="0" w:noVBand="1"/>
      </w:tblPr>
      <w:tblGrid>
        <w:gridCol w:w="2825"/>
        <w:gridCol w:w="2694"/>
        <w:gridCol w:w="3341"/>
      </w:tblGrid>
      <w:tr w:rsidR="007E082F" w:rsidRPr="007E082F" w14:paraId="6C2A36D7" w14:textId="77777777" w:rsidTr="007E082F">
        <w:trPr>
          <w:trHeight w:val="300"/>
        </w:trPr>
        <w:tc>
          <w:tcPr>
            <w:tcW w:w="8860" w:type="dxa"/>
            <w:gridSpan w:val="3"/>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27791BBF" w14:textId="77777777" w:rsidR="007E082F" w:rsidRPr="007E082F" w:rsidRDefault="007E082F" w:rsidP="007E082F">
            <w:pPr>
              <w:spacing w:after="0" w:line="240" w:lineRule="auto"/>
              <w:jc w:val="left"/>
              <w:rPr>
                <w:rFonts w:eastAsia="Times New Roman"/>
                <w:b/>
                <w:bCs/>
                <w:color w:val="000000"/>
                <w:lang w:val="es-CL"/>
              </w:rPr>
            </w:pPr>
            <w:r w:rsidRPr="007E082F">
              <w:rPr>
                <w:rFonts w:eastAsia="Times New Roman"/>
                <w:b/>
                <w:bCs/>
                <w:color w:val="000000"/>
                <w:lang w:val="es-CL"/>
              </w:rPr>
              <w:t>CRITERIO 9</w:t>
            </w:r>
            <w:r w:rsidRPr="007E082F">
              <w:rPr>
                <w:rFonts w:eastAsia="Times New Roman"/>
                <w:color w:val="000000"/>
                <w:lang w:val="es-CL"/>
              </w:rPr>
              <w:t xml:space="preserve">: </w:t>
            </w:r>
            <w:r w:rsidRPr="007E082F">
              <w:rPr>
                <w:rFonts w:eastAsia="Times New Roman"/>
                <w:b/>
                <w:bCs/>
                <w:color w:val="000000"/>
                <w:lang w:val="es-CL"/>
              </w:rPr>
              <w:t>Organizaciones con domicilio en comunas priorizada</w:t>
            </w:r>
            <w:r w:rsidRPr="007E082F">
              <w:rPr>
                <w:rFonts w:eastAsia="Times New Roman"/>
                <w:color w:val="000000"/>
                <w:lang w:val="es-CL"/>
              </w:rPr>
              <w:t>s</w:t>
            </w:r>
          </w:p>
        </w:tc>
      </w:tr>
      <w:tr w:rsidR="007E082F" w:rsidRPr="007E082F" w14:paraId="60F24239" w14:textId="77777777" w:rsidTr="007E082F">
        <w:trPr>
          <w:trHeight w:val="288"/>
        </w:trPr>
        <w:tc>
          <w:tcPr>
            <w:tcW w:w="28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86C8BF"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Organizaciones legalmente constituidas con domicilio comercial en la comuna de Freirina</w:t>
            </w:r>
          </w:p>
        </w:tc>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D01DEF"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 xml:space="preserve"> Organizaciones legalmente constituidas con domicilio comercial en la comuna de Copiapó. </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19056F" w14:textId="77777777" w:rsidR="007E082F" w:rsidRPr="007E082F" w:rsidRDefault="007E082F" w:rsidP="007E082F">
            <w:pPr>
              <w:spacing w:after="0" w:line="240" w:lineRule="auto"/>
              <w:jc w:val="left"/>
              <w:rPr>
                <w:rFonts w:eastAsia="Times New Roman"/>
                <w:color w:val="000000"/>
                <w:lang w:val="es-CL"/>
              </w:rPr>
            </w:pPr>
            <w:r w:rsidRPr="007E082F">
              <w:rPr>
                <w:rFonts w:eastAsia="Times New Roman"/>
                <w:color w:val="000000"/>
                <w:lang w:val="es-CL"/>
              </w:rPr>
              <w:t>Organizaciones legalmente constituidas con domicilio comercial en  las comunas de: Chañaral, Diego de Almagro, Caldera, Tierra Amarilla, Alto del Carmen, Vallenar y Huasco</w:t>
            </w:r>
          </w:p>
        </w:tc>
      </w:tr>
      <w:tr w:rsidR="007E082F" w:rsidRPr="007E082F" w14:paraId="25B6601E" w14:textId="77777777" w:rsidTr="007E082F">
        <w:trPr>
          <w:trHeight w:val="288"/>
        </w:trPr>
        <w:tc>
          <w:tcPr>
            <w:tcW w:w="2825" w:type="dxa"/>
            <w:vMerge/>
            <w:tcBorders>
              <w:top w:val="nil"/>
              <w:left w:val="single" w:sz="8" w:space="0" w:color="000000"/>
              <w:bottom w:val="single" w:sz="8" w:space="0" w:color="000000"/>
              <w:right w:val="single" w:sz="8" w:space="0" w:color="000000"/>
            </w:tcBorders>
            <w:vAlign w:val="center"/>
            <w:hideMark/>
          </w:tcPr>
          <w:p w14:paraId="48E368D0" w14:textId="77777777" w:rsidR="007E082F" w:rsidRPr="007E082F" w:rsidRDefault="007E082F" w:rsidP="007E082F">
            <w:pPr>
              <w:spacing w:after="0" w:line="240" w:lineRule="auto"/>
              <w:jc w:val="left"/>
              <w:rPr>
                <w:rFonts w:eastAsia="Times New Roman"/>
                <w:color w:val="000000"/>
                <w:lang w:val="es-CL"/>
              </w:rPr>
            </w:pPr>
          </w:p>
        </w:tc>
        <w:tc>
          <w:tcPr>
            <w:tcW w:w="2694" w:type="dxa"/>
            <w:vMerge/>
            <w:tcBorders>
              <w:top w:val="nil"/>
              <w:left w:val="single" w:sz="8" w:space="0" w:color="000000"/>
              <w:bottom w:val="single" w:sz="8" w:space="0" w:color="000000"/>
              <w:right w:val="single" w:sz="8" w:space="0" w:color="000000"/>
            </w:tcBorders>
            <w:vAlign w:val="center"/>
            <w:hideMark/>
          </w:tcPr>
          <w:p w14:paraId="5738C0D0" w14:textId="77777777" w:rsidR="007E082F" w:rsidRPr="007E082F" w:rsidRDefault="007E082F" w:rsidP="007E082F">
            <w:pPr>
              <w:spacing w:after="0" w:line="240" w:lineRule="auto"/>
              <w:jc w:val="left"/>
              <w:rPr>
                <w:rFonts w:eastAsia="Times New Roman"/>
                <w:color w:val="000000"/>
                <w:lang w:val="es-CL"/>
              </w:rPr>
            </w:pPr>
          </w:p>
        </w:tc>
        <w:tc>
          <w:tcPr>
            <w:tcW w:w="3341" w:type="dxa"/>
            <w:vMerge/>
            <w:tcBorders>
              <w:top w:val="nil"/>
              <w:left w:val="single" w:sz="8" w:space="0" w:color="000000"/>
              <w:bottom w:val="single" w:sz="8" w:space="0" w:color="000000"/>
              <w:right w:val="single" w:sz="8" w:space="0" w:color="000000"/>
            </w:tcBorders>
            <w:vAlign w:val="center"/>
            <w:hideMark/>
          </w:tcPr>
          <w:p w14:paraId="3749CFD1" w14:textId="77777777" w:rsidR="007E082F" w:rsidRPr="007E082F" w:rsidRDefault="007E082F" w:rsidP="007E082F">
            <w:pPr>
              <w:spacing w:after="0" w:line="240" w:lineRule="auto"/>
              <w:jc w:val="left"/>
              <w:rPr>
                <w:rFonts w:eastAsia="Times New Roman"/>
                <w:color w:val="000000"/>
                <w:lang w:val="es-CL"/>
              </w:rPr>
            </w:pPr>
          </w:p>
        </w:tc>
      </w:tr>
      <w:tr w:rsidR="007E082F" w:rsidRPr="007E082F" w14:paraId="5C27AD5B" w14:textId="77777777" w:rsidTr="007E082F">
        <w:trPr>
          <w:trHeight w:val="288"/>
        </w:trPr>
        <w:tc>
          <w:tcPr>
            <w:tcW w:w="2825" w:type="dxa"/>
            <w:vMerge/>
            <w:tcBorders>
              <w:top w:val="nil"/>
              <w:left w:val="single" w:sz="8" w:space="0" w:color="000000"/>
              <w:bottom w:val="single" w:sz="8" w:space="0" w:color="000000"/>
              <w:right w:val="single" w:sz="8" w:space="0" w:color="000000"/>
            </w:tcBorders>
            <w:vAlign w:val="center"/>
            <w:hideMark/>
          </w:tcPr>
          <w:p w14:paraId="6092148C" w14:textId="77777777" w:rsidR="007E082F" w:rsidRPr="007E082F" w:rsidRDefault="007E082F" w:rsidP="007E082F">
            <w:pPr>
              <w:spacing w:after="0" w:line="240" w:lineRule="auto"/>
              <w:jc w:val="left"/>
              <w:rPr>
                <w:rFonts w:eastAsia="Times New Roman"/>
                <w:color w:val="000000"/>
                <w:lang w:val="es-CL"/>
              </w:rPr>
            </w:pPr>
          </w:p>
        </w:tc>
        <w:tc>
          <w:tcPr>
            <w:tcW w:w="2694" w:type="dxa"/>
            <w:vMerge/>
            <w:tcBorders>
              <w:top w:val="nil"/>
              <w:left w:val="single" w:sz="8" w:space="0" w:color="000000"/>
              <w:bottom w:val="single" w:sz="8" w:space="0" w:color="000000"/>
              <w:right w:val="single" w:sz="8" w:space="0" w:color="000000"/>
            </w:tcBorders>
            <w:vAlign w:val="center"/>
            <w:hideMark/>
          </w:tcPr>
          <w:p w14:paraId="5F2B1ACB" w14:textId="77777777" w:rsidR="007E082F" w:rsidRPr="007E082F" w:rsidRDefault="007E082F" w:rsidP="007E082F">
            <w:pPr>
              <w:spacing w:after="0" w:line="240" w:lineRule="auto"/>
              <w:jc w:val="left"/>
              <w:rPr>
                <w:rFonts w:eastAsia="Times New Roman"/>
                <w:color w:val="000000"/>
                <w:lang w:val="es-CL"/>
              </w:rPr>
            </w:pPr>
          </w:p>
        </w:tc>
        <w:tc>
          <w:tcPr>
            <w:tcW w:w="3341" w:type="dxa"/>
            <w:vMerge/>
            <w:tcBorders>
              <w:top w:val="nil"/>
              <w:left w:val="single" w:sz="8" w:space="0" w:color="000000"/>
              <w:bottom w:val="single" w:sz="8" w:space="0" w:color="000000"/>
              <w:right w:val="single" w:sz="8" w:space="0" w:color="000000"/>
            </w:tcBorders>
            <w:vAlign w:val="center"/>
            <w:hideMark/>
          </w:tcPr>
          <w:p w14:paraId="13AFD915" w14:textId="77777777" w:rsidR="007E082F" w:rsidRPr="007E082F" w:rsidRDefault="007E082F" w:rsidP="007E082F">
            <w:pPr>
              <w:spacing w:after="0" w:line="240" w:lineRule="auto"/>
              <w:jc w:val="left"/>
              <w:rPr>
                <w:rFonts w:eastAsia="Times New Roman"/>
                <w:color w:val="000000"/>
                <w:lang w:val="es-CL"/>
              </w:rPr>
            </w:pPr>
          </w:p>
        </w:tc>
      </w:tr>
      <w:tr w:rsidR="007E082F" w:rsidRPr="007E082F" w14:paraId="6A60C5EB" w14:textId="77777777" w:rsidTr="007E082F">
        <w:trPr>
          <w:trHeight w:val="288"/>
        </w:trPr>
        <w:tc>
          <w:tcPr>
            <w:tcW w:w="2825" w:type="dxa"/>
            <w:vMerge/>
            <w:tcBorders>
              <w:top w:val="nil"/>
              <w:left w:val="single" w:sz="8" w:space="0" w:color="000000"/>
              <w:bottom w:val="single" w:sz="8" w:space="0" w:color="000000"/>
              <w:right w:val="single" w:sz="8" w:space="0" w:color="000000"/>
            </w:tcBorders>
            <w:vAlign w:val="center"/>
            <w:hideMark/>
          </w:tcPr>
          <w:p w14:paraId="793254C5" w14:textId="77777777" w:rsidR="007E082F" w:rsidRPr="007E082F" w:rsidRDefault="007E082F" w:rsidP="007E082F">
            <w:pPr>
              <w:spacing w:after="0" w:line="240" w:lineRule="auto"/>
              <w:jc w:val="left"/>
              <w:rPr>
                <w:rFonts w:eastAsia="Times New Roman"/>
                <w:color w:val="000000"/>
                <w:lang w:val="es-CL"/>
              </w:rPr>
            </w:pPr>
          </w:p>
        </w:tc>
        <w:tc>
          <w:tcPr>
            <w:tcW w:w="2694" w:type="dxa"/>
            <w:vMerge/>
            <w:tcBorders>
              <w:top w:val="nil"/>
              <w:left w:val="single" w:sz="8" w:space="0" w:color="000000"/>
              <w:bottom w:val="single" w:sz="8" w:space="0" w:color="000000"/>
              <w:right w:val="single" w:sz="8" w:space="0" w:color="000000"/>
            </w:tcBorders>
            <w:vAlign w:val="center"/>
            <w:hideMark/>
          </w:tcPr>
          <w:p w14:paraId="1AEB0C2B" w14:textId="77777777" w:rsidR="007E082F" w:rsidRPr="007E082F" w:rsidRDefault="007E082F" w:rsidP="007E082F">
            <w:pPr>
              <w:spacing w:after="0" w:line="240" w:lineRule="auto"/>
              <w:jc w:val="left"/>
              <w:rPr>
                <w:rFonts w:eastAsia="Times New Roman"/>
                <w:color w:val="000000"/>
                <w:lang w:val="es-CL"/>
              </w:rPr>
            </w:pPr>
          </w:p>
        </w:tc>
        <w:tc>
          <w:tcPr>
            <w:tcW w:w="3341" w:type="dxa"/>
            <w:vMerge/>
            <w:tcBorders>
              <w:top w:val="nil"/>
              <w:left w:val="single" w:sz="8" w:space="0" w:color="000000"/>
              <w:bottom w:val="single" w:sz="8" w:space="0" w:color="000000"/>
              <w:right w:val="single" w:sz="8" w:space="0" w:color="000000"/>
            </w:tcBorders>
            <w:vAlign w:val="center"/>
            <w:hideMark/>
          </w:tcPr>
          <w:p w14:paraId="463E982D" w14:textId="77777777" w:rsidR="007E082F" w:rsidRPr="007E082F" w:rsidRDefault="007E082F" w:rsidP="007E082F">
            <w:pPr>
              <w:spacing w:after="0" w:line="240" w:lineRule="auto"/>
              <w:jc w:val="left"/>
              <w:rPr>
                <w:rFonts w:eastAsia="Times New Roman"/>
                <w:color w:val="000000"/>
                <w:lang w:val="es-CL"/>
              </w:rPr>
            </w:pPr>
          </w:p>
        </w:tc>
      </w:tr>
      <w:tr w:rsidR="007E082F" w:rsidRPr="007E082F" w14:paraId="7F0E5454" w14:textId="77777777" w:rsidTr="007E082F">
        <w:trPr>
          <w:trHeight w:val="756"/>
        </w:trPr>
        <w:tc>
          <w:tcPr>
            <w:tcW w:w="2825" w:type="dxa"/>
            <w:vMerge/>
            <w:tcBorders>
              <w:top w:val="nil"/>
              <w:left w:val="single" w:sz="8" w:space="0" w:color="000000"/>
              <w:bottom w:val="single" w:sz="8" w:space="0" w:color="000000"/>
              <w:right w:val="single" w:sz="8" w:space="0" w:color="000000"/>
            </w:tcBorders>
            <w:vAlign w:val="center"/>
            <w:hideMark/>
          </w:tcPr>
          <w:p w14:paraId="1D95C4D4" w14:textId="77777777" w:rsidR="007E082F" w:rsidRPr="007E082F" w:rsidRDefault="007E082F" w:rsidP="007E082F">
            <w:pPr>
              <w:spacing w:after="0" w:line="240" w:lineRule="auto"/>
              <w:jc w:val="left"/>
              <w:rPr>
                <w:rFonts w:eastAsia="Times New Roman"/>
                <w:color w:val="000000"/>
                <w:lang w:val="es-CL"/>
              </w:rPr>
            </w:pPr>
          </w:p>
        </w:tc>
        <w:tc>
          <w:tcPr>
            <w:tcW w:w="2694" w:type="dxa"/>
            <w:vMerge/>
            <w:tcBorders>
              <w:top w:val="nil"/>
              <w:left w:val="single" w:sz="8" w:space="0" w:color="000000"/>
              <w:bottom w:val="single" w:sz="8" w:space="0" w:color="000000"/>
              <w:right w:val="single" w:sz="8" w:space="0" w:color="000000"/>
            </w:tcBorders>
            <w:vAlign w:val="center"/>
            <w:hideMark/>
          </w:tcPr>
          <w:p w14:paraId="15ACC78B" w14:textId="77777777" w:rsidR="007E082F" w:rsidRPr="007E082F" w:rsidRDefault="007E082F" w:rsidP="007E082F">
            <w:pPr>
              <w:spacing w:after="0" w:line="240" w:lineRule="auto"/>
              <w:jc w:val="left"/>
              <w:rPr>
                <w:rFonts w:eastAsia="Times New Roman"/>
                <w:color w:val="000000"/>
                <w:lang w:val="es-CL"/>
              </w:rPr>
            </w:pPr>
          </w:p>
        </w:tc>
        <w:tc>
          <w:tcPr>
            <w:tcW w:w="3341" w:type="dxa"/>
            <w:vMerge/>
            <w:tcBorders>
              <w:top w:val="nil"/>
              <w:left w:val="single" w:sz="8" w:space="0" w:color="000000"/>
              <w:bottom w:val="single" w:sz="8" w:space="0" w:color="000000"/>
              <w:right w:val="single" w:sz="8" w:space="0" w:color="000000"/>
            </w:tcBorders>
            <w:vAlign w:val="center"/>
            <w:hideMark/>
          </w:tcPr>
          <w:p w14:paraId="206FE0C3" w14:textId="77777777" w:rsidR="007E082F" w:rsidRPr="007E082F" w:rsidRDefault="007E082F" w:rsidP="007E082F">
            <w:pPr>
              <w:spacing w:after="0" w:line="240" w:lineRule="auto"/>
              <w:jc w:val="left"/>
              <w:rPr>
                <w:rFonts w:eastAsia="Times New Roman"/>
                <w:color w:val="000000"/>
                <w:lang w:val="es-CL"/>
              </w:rPr>
            </w:pPr>
          </w:p>
        </w:tc>
      </w:tr>
      <w:tr w:rsidR="007E082F" w:rsidRPr="007E082F" w14:paraId="19D5A234" w14:textId="77777777" w:rsidTr="007E082F">
        <w:trPr>
          <w:trHeight w:val="300"/>
        </w:trPr>
        <w:tc>
          <w:tcPr>
            <w:tcW w:w="2825" w:type="dxa"/>
            <w:tcBorders>
              <w:top w:val="nil"/>
              <w:left w:val="single" w:sz="8" w:space="0" w:color="000000"/>
              <w:bottom w:val="single" w:sz="8" w:space="0" w:color="000000"/>
              <w:right w:val="single" w:sz="8" w:space="0" w:color="000000"/>
            </w:tcBorders>
            <w:shd w:val="clear" w:color="000000" w:fill="C5E0B3"/>
            <w:vAlign w:val="center"/>
            <w:hideMark/>
          </w:tcPr>
          <w:p w14:paraId="63C62342" w14:textId="77777777" w:rsidR="007E082F" w:rsidRPr="007E082F" w:rsidRDefault="007E082F" w:rsidP="007E082F">
            <w:pPr>
              <w:spacing w:after="0" w:line="240" w:lineRule="auto"/>
              <w:jc w:val="center"/>
              <w:rPr>
                <w:rFonts w:eastAsia="Times New Roman"/>
                <w:b/>
                <w:bCs/>
                <w:color w:val="000000"/>
                <w:lang w:val="en-US"/>
              </w:rPr>
            </w:pPr>
            <w:r w:rsidRPr="007E082F">
              <w:rPr>
                <w:rFonts w:eastAsia="Times New Roman"/>
                <w:b/>
                <w:bCs/>
                <w:color w:val="000000"/>
                <w:lang w:val="en-US"/>
              </w:rPr>
              <w:t>Nota 3</w:t>
            </w:r>
          </w:p>
        </w:tc>
        <w:tc>
          <w:tcPr>
            <w:tcW w:w="2694" w:type="dxa"/>
            <w:tcBorders>
              <w:top w:val="nil"/>
              <w:left w:val="nil"/>
              <w:bottom w:val="single" w:sz="8" w:space="0" w:color="000000"/>
              <w:right w:val="single" w:sz="8" w:space="0" w:color="000000"/>
            </w:tcBorders>
            <w:shd w:val="clear" w:color="000000" w:fill="C5E0B3"/>
            <w:vAlign w:val="center"/>
            <w:hideMark/>
          </w:tcPr>
          <w:p w14:paraId="434387D9" w14:textId="77777777" w:rsidR="007E082F" w:rsidRPr="007E082F" w:rsidRDefault="007E082F" w:rsidP="007E082F">
            <w:pPr>
              <w:spacing w:after="0" w:line="240" w:lineRule="auto"/>
              <w:jc w:val="center"/>
              <w:rPr>
                <w:rFonts w:eastAsia="Times New Roman"/>
                <w:b/>
                <w:bCs/>
                <w:color w:val="000000"/>
                <w:lang w:val="en-US"/>
              </w:rPr>
            </w:pPr>
            <w:r w:rsidRPr="007E082F">
              <w:rPr>
                <w:rFonts w:eastAsia="Times New Roman"/>
                <w:b/>
                <w:bCs/>
                <w:color w:val="000000"/>
                <w:lang w:val="en-US"/>
              </w:rPr>
              <w:t>Nota 5</w:t>
            </w:r>
          </w:p>
        </w:tc>
        <w:tc>
          <w:tcPr>
            <w:tcW w:w="3341" w:type="dxa"/>
            <w:tcBorders>
              <w:top w:val="nil"/>
              <w:left w:val="nil"/>
              <w:bottom w:val="single" w:sz="8" w:space="0" w:color="000000"/>
              <w:right w:val="single" w:sz="8" w:space="0" w:color="000000"/>
            </w:tcBorders>
            <w:shd w:val="clear" w:color="000000" w:fill="C5E0B3"/>
            <w:vAlign w:val="center"/>
            <w:hideMark/>
          </w:tcPr>
          <w:p w14:paraId="10BF66C1" w14:textId="77777777" w:rsidR="007E082F" w:rsidRPr="007E082F" w:rsidRDefault="007E082F" w:rsidP="007E082F">
            <w:pPr>
              <w:spacing w:after="0" w:line="240" w:lineRule="auto"/>
              <w:jc w:val="center"/>
              <w:rPr>
                <w:rFonts w:eastAsia="Times New Roman"/>
                <w:b/>
                <w:bCs/>
                <w:color w:val="000000"/>
                <w:lang w:val="en-US"/>
              </w:rPr>
            </w:pPr>
            <w:r w:rsidRPr="007E082F">
              <w:rPr>
                <w:rFonts w:eastAsia="Times New Roman"/>
                <w:b/>
                <w:bCs/>
                <w:color w:val="000000"/>
                <w:lang w:val="en-US"/>
              </w:rPr>
              <w:t>Nota 7</w:t>
            </w:r>
          </w:p>
        </w:tc>
      </w:tr>
    </w:tbl>
    <w:p w14:paraId="0CA5DCAB" w14:textId="77777777" w:rsidR="00244DD8" w:rsidRDefault="00F87075">
      <w:pPr>
        <w:rPr>
          <w:b/>
          <w:sz w:val="26"/>
          <w:szCs w:val="26"/>
        </w:rPr>
      </w:pPr>
      <w:r>
        <w:br w:type="page"/>
      </w:r>
      <w:bookmarkStart w:id="7" w:name="_GoBack"/>
      <w:bookmarkEnd w:id="7"/>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E339C" w14:textId="77777777" w:rsidR="008C6B62" w:rsidRDefault="008C6B62">
      <w:pPr>
        <w:spacing w:after="0" w:line="240" w:lineRule="auto"/>
      </w:pPr>
      <w:r>
        <w:separator/>
      </w:r>
    </w:p>
  </w:endnote>
  <w:endnote w:type="continuationSeparator" w:id="0">
    <w:p w14:paraId="30F82AA5" w14:textId="77777777" w:rsidR="008C6B62" w:rsidRDefault="008C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1EFE331A"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E082F">
      <w:rPr>
        <w:noProof/>
        <w:color w:val="000000"/>
      </w:rPr>
      <w:t>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3EA15" w14:textId="77777777" w:rsidR="008C6B62" w:rsidRDefault="008C6B62">
      <w:pPr>
        <w:spacing w:after="0" w:line="240" w:lineRule="auto"/>
      </w:pPr>
      <w:r>
        <w:separator/>
      </w:r>
    </w:p>
  </w:footnote>
  <w:footnote w:type="continuationSeparator" w:id="0">
    <w:p w14:paraId="458F0B3A" w14:textId="77777777" w:rsidR="008C6B62" w:rsidRDefault="008C6B62">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F0784"/>
    <w:rsid w:val="001373F1"/>
    <w:rsid w:val="00141D59"/>
    <w:rsid w:val="00152DDC"/>
    <w:rsid w:val="00196869"/>
    <w:rsid w:val="001B62B1"/>
    <w:rsid w:val="001D6D30"/>
    <w:rsid w:val="0020083F"/>
    <w:rsid w:val="00226D25"/>
    <w:rsid w:val="00244DD8"/>
    <w:rsid w:val="002E3C3A"/>
    <w:rsid w:val="0033139B"/>
    <w:rsid w:val="00333AC8"/>
    <w:rsid w:val="00351CB4"/>
    <w:rsid w:val="00351ED9"/>
    <w:rsid w:val="00360B94"/>
    <w:rsid w:val="00464312"/>
    <w:rsid w:val="00493BBA"/>
    <w:rsid w:val="004D5CA1"/>
    <w:rsid w:val="0061431C"/>
    <w:rsid w:val="006352CF"/>
    <w:rsid w:val="006374ED"/>
    <w:rsid w:val="006D586E"/>
    <w:rsid w:val="006E70EC"/>
    <w:rsid w:val="00741636"/>
    <w:rsid w:val="00752D3E"/>
    <w:rsid w:val="00765492"/>
    <w:rsid w:val="00770DD6"/>
    <w:rsid w:val="007865D8"/>
    <w:rsid w:val="007A33C6"/>
    <w:rsid w:val="007D2263"/>
    <w:rsid w:val="007E082F"/>
    <w:rsid w:val="007F2DC4"/>
    <w:rsid w:val="00810086"/>
    <w:rsid w:val="00812A0D"/>
    <w:rsid w:val="00861DB6"/>
    <w:rsid w:val="00867E14"/>
    <w:rsid w:val="00873932"/>
    <w:rsid w:val="008906E0"/>
    <w:rsid w:val="0089350B"/>
    <w:rsid w:val="008B043A"/>
    <w:rsid w:val="008C6B62"/>
    <w:rsid w:val="008D6498"/>
    <w:rsid w:val="009018AC"/>
    <w:rsid w:val="009131B7"/>
    <w:rsid w:val="00946C50"/>
    <w:rsid w:val="00957850"/>
    <w:rsid w:val="0097076A"/>
    <w:rsid w:val="00976C8C"/>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7E082F"/>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4288">
      <w:bodyDiv w:val="1"/>
      <w:marLeft w:val="0"/>
      <w:marRight w:val="0"/>
      <w:marTop w:val="0"/>
      <w:marBottom w:val="0"/>
      <w:divBdr>
        <w:top w:val="none" w:sz="0" w:space="0" w:color="auto"/>
        <w:left w:val="none" w:sz="0" w:space="0" w:color="auto"/>
        <w:bottom w:val="none" w:sz="0" w:space="0" w:color="auto"/>
        <w:right w:val="none" w:sz="0" w:space="0" w:color="auto"/>
      </w:divBdr>
    </w:div>
    <w:div w:id="404183866">
      <w:bodyDiv w:val="1"/>
      <w:marLeft w:val="0"/>
      <w:marRight w:val="0"/>
      <w:marTop w:val="0"/>
      <w:marBottom w:val="0"/>
      <w:divBdr>
        <w:top w:val="none" w:sz="0" w:space="0" w:color="auto"/>
        <w:left w:val="none" w:sz="0" w:space="0" w:color="auto"/>
        <w:bottom w:val="none" w:sz="0" w:space="0" w:color="auto"/>
        <w:right w:val="none" w:sz="0" w:space="0" w:color="auto"/>
      </w:divBdr>
    </w:div>
    <w:div w:id="1243220755">
      <w:bodyDiv w:val="1"/>
      <w:marLeft w:val="0"/>
      <w:marRight w:val="0"/>
      <w:marTop w:val="0"/>
      <w:marBottom w:val="0"/>
      <w:divBdr>
        <w:top w:val="none" w:sz="0" w:space="0" w:color="auto"/>
        <w:left w:val="none" w:sz="0" w:space="0" w:color="auto"/>
        <w:bottom w:val="none" w:sz="0" w:space="0" w:color="auto"/>
        <w:right w:val="none" w:sz="0" w:space="0" w:color="auto"/>
      </w:divBdr>
    </w:div>
    <w:div w:id="181602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8F52BF-6EBB-497B-9458-C0A85A9E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11522</Words>
  <Characters>65680</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2</cp:revision>
  <cp:lastPrinted>2025-06-30T15:12:00Z</cp:lastPrinted>
  <dcterms:created xsi:type="dcterms:W3CDTF">2025-06-30T15:14:00Z</dcterms:created>
  <dcterms:modified xsi:type="dcterms:W3CDTF">2025-06-30T15:14:00Z</dcterms:modified>
</cp:coreProperties>
</file>