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DE LOS RÍOS</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rFonts w:ascii="Calibri" w:cs="Calibri" w:eastAsia="Calibri" w:hAnsi="Calibri"/>
                <w:sz w:val="20"/>
                <w:szCs w:val="20"/>
                <w:rtl w:val="0"/>
              </w:rPr>
              <w:t xml:space="preserve">Ventas cooperativa</w:t>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dumdph1aswni"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2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3045"/>
        <w:gridCol w:w="3195"/>
        <w:tblGridChange w:id="0">
          <w:tblGrid>
            <w:gridCol w:w="3045"/>
            <w:gridCol w:w="3045"/>
            <w:gridCol w:w="3195"/>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92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3075"/>
        <w:gridCol w:w="3135"/>
        <w:tblGridChange w:id="0">
          <w:tblGrid>
            <w:gridCol w:w="304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74">
            <w:pPr>
              <w:widowControl w:val="1"/>
              <w:jc w:val="left"/>
              <w:rPr>
                <w:sz w:val="20"/>
                <w:szCs w:val="20"/>
              </w:rPr>
            </w:pPr>
            <w:r w:rsidDel="00000000" w:rsidR="00000000" w:rsidRPr="00000000">
              <w:rPr>
                <w:sz w:val="20"/>
                <w:szCs w:val="20"/>
                <w:rtl w:val="0"/>
              </w:rPr>
              <w:t xml:space="preserve">La cooperativa no ha realizado ventas desde su inicio de actividades ante el SII</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75">
            <w:pPr>
              <w:widowControl w:val="1"/>
              <w:jc w:val="left"/>
              <w:rPr>
                <w:sz w:val="20"/>
                <w:szCs w:val="20"/>
              </w:rPr>
            </w:pPr>
            <w:r w:rsidDel="00000000" w:rsidR="00000000" w:rsidRPr="00000000">
              <w:rPr>
                <w:sz w:val="20"/>
                <w:szCs w:val="20"/>
                <w:rtl w:val="0"/>
              </w:rPr>
              <w:t xml:space="preserve">La cooperativa ha realizado al</w:t>
            </w:r>
          </w:p>
          <w:p w:rsidR="00000000" w:rsidDel="00000000" w:rsidP="00000000" w:rsidRDefault="00000000" w:rsidRPr="00000000" w14:paraId="00000376">
            <w:pPr>
              <w:widowControl w:val="1"/>
              <w:jc w:val="left"/>
              <w:rPr>
                <w:sz w:val="20"/>
                <w:szCs w:val="20"/>
              </w:rPr>
            </w:pPr>
            <w:r w:rsidDel="00000000" w:rsidR="00000000" w:rsidRPr="00000000">
              <w:rPr>
                <w:sz w:val="20"/>
                <w:szCs w:val="20"/>
                <w:rtl w:val="0"/>
              </w:rPr>
              <w:t xml:space="preserve">menos una desde su inicio de</w:t>
            </w:r>
          </w:p>
          <w:p w:rsidR="00000000" w:rsidDel="00000000" w:rsidP="00000000" w:rsidRDefault="00000000" w:rsidRPr="00000000" w14:paraId="00000377">
            <w:pPr>
              <w:widowControl w:val="1"/>
              <w:jc w:val="left"/>
              <w:rPr>
                <w:sz w:val="20"/>
                <w:szCs w:val="20"/>
              </w:rPr>
            </w:pPr>
            <w:r w:rsidDel="00000000" w:rsidR="00000000" w:rsidRPr="00000000">
              <w:rPr>
                <w:sz w:val="20"/>
                <w:szCs w:val="20"/>
                <w:rtl w:val="0"/>
              </w:rPr>
              <w:t xml:space="preserve">actividades ante el SII o en los</w:t>
            </w:r>
          </w:p>
          <w:p w:rsidR="00000000" w:rsidDel="00000000" w:rsidP="00000000" w:rsidRDefault="00000000" w:rsidRPr="00000000" w14:paraId="00000378">
            <w:pPr>
              <w:widowControl w:val="1"/>
              <w:jc w:val="left"/>
              <w:rPr>
                <w:sz w:val="20"/>
                <w:szCs w:val="20"/>
              </w:rPr>
            </w:pPr>
            <w:r w:rsidDel="00000000" w:rsidR="00000000" w:rsidRPr="00000000">
              <w:rPr>
                <w:sz w:val="20"/>
                <w:szCs w:val="20"/>
                <w:rtl w:val="0"/>
              </w:rPr>
              <w:t xml:space="preserve">últimos dos últimos años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79">
            <w:pPr>
              <w:widowControl w:val="1"/>
              <w:ind w:right="-97.91338582677156"/>
              <w:jc w:val="left"/>
              <w:rPr>
                <w:sz w:val="20"/>
                <w:szCs w:val="20"/>
              </w:rPr>
            </w:pPr>
            <w:r w:rsidDel="00000000" w:rsidR="00000000" w:rsidRPr="00000000">
              <w:rPr>
                <w:sz w:val="20"/>
                <w:szCs w:val="20"/>
                <w:rtl w:val="0"/>
              </w:rPr>
              <w:t xml:space="preserve">La cooperativa ha realizado más</w:t>
            </w:r>
          </w:p>
          <w:p w:rsidR="00000000" w:rsidDel="00000000" w:rsidP="00000000" w:rsidRDefault="00000000" w:rsidRPr="00000000" w14:paraId="0000037A">
            <w:pPr>
              <w:widowControl w:val="1"/>
              <w:ind w:right="-97.91338582677156"/>
              <w:jc w:val="left"/>
              <w:rPr>
                <w:sz w:val="20"/>
                <w:szCs w:val="20"/>
              </w:rPr>
            </w:pPr>
            <w:r w:rsidDel="00000000" w:rsidR="00000000" w:rsidRPr="00000000">
              <w:rPr>
                <w:sz w:val="20"/>
                <w:szCs w:val="20"/>
                <w:rtl w:val="0"/>
              </w:rPr>
              <w:t xml:space="preserve">de tres ventas desde su inicio de</w:t>
            </w:r>
          </w:p>
          <w:p w:rsidR="00000000" w:rsidDel="00000000" w:rsidP="00000000" w:rsidRDefault="00000000" w:rsidRPr="00000000" w14:paraId="0000037B">
            <w:pPr>
              <w:widowControl w:val="1"/>
              <w:ind w:right="-97.91338582677156"/>
              <w:jc w:val="left"/>
              <w:rPr>
                <w:sz w:val="20"/>
                <w:szCs w:val="20"/>
              </w:rPr>
            </w:pPr>
            <w:r w:rsidDel="00000000" w:rsidR="00000000" w:rsidRPr="00000000">
              <w:rPr>
                <w:sz w:val="20"/>
                <w:szCs w:val="20"/>
                <w:rtl w:val="0"/>
              </w:rPr>
              <w:t xml:space="preserve">actividades ante SII Io en los dos</w:t>
            </w:r>
          </w:p>
          <w:p w:rsidR="00000000" w:rsidDel="00000000" w:rsidP="00000000" w:rsidRDefault="00000000" w:rsidRPr="00000000" w14:paraId="0000037C">
            <w:pPr>
              <w:widowControl w:val="1"/>
              <w:ind w:right="-97.91338582677156"/>
              <w:jc w:val="left"/>
              <w:rPr>
                <w:rFonts w:ascii="Times New Roman" w:cs="Times New Roman" w:eastAsia="Times New Roman" w:hAnsi="Times New Roman"/>
                <w:sz w:val="24"/>
                <w:szCs w:val="24"/>
              </w:rPr>
            </w:pPr>
            <w:r w:rsidDel="00000000" w:rsidR="00000000" w:rsidRPr="00000000">
              <w:rPr>
                <w:sz w:val="20"/>
                <w:szCs w:val="20"/>
                <w:rtl w:val="0"/>
              </w:rPr>
              <w:t xml:space="preserve">últimos años.</w:t>
            </w:r>
            <w:r w:rsidDel="00000000" w:rsidR="00000000" w:rsidRPr="00000000">
              <w:rPr>
                <w:rtl w:val="0"/>
              </w:rPr>
            </w:r>
          </w:p>
        </w:tc>
      </w:tr>
      <w:tr>
        <w:trPr>
          <w:cantSplit w:val="0"/>
          <w:trHeight w:val="493.55468749999994" w:hRule="atLeast"/>
          <w:tblHeader w:val="0"/>
        </w:trPr>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p w:rsidR="00000000" w:rsidDel="00000000" w:rsidP="00000000" w:rsidRDefault="00000000" w:rsidRPr="00000000" w14:paraId="0000037E">
            <w:pPr>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p w:rsidR="00000000" w:rsidDel="00000000" w:rsidP="00000000" w:rsidRDefault="00000000" w:rsidRPr="00000000" w14:paraId="0000037F">
            <w:pPr>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r>
    </w:tbl>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2">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4">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5">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8">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120" w:tblpY="0"/>
        <w:tblW w:w="9030.0" w:type="dxa"/>
        <w:jc w:val="left"/>
        <w:tblLayout w:type="fixed"/>
        <w:tblLook w:val="0400"/>
      </w:tblPr>
      <w:tblGrid>
        <w:gridCol w:w="2895"/>
        <w:gridCol w:w="2835"/>
        <w:gridCol w:w="3300"/>
        <w:tblGridChange w:id="0">
          <w:tblGrid>
            <w:gridCol w:w="2895"/>
            <w:gridCol w:w="2835"/>
            <w:gridCol w:w="3300"/>
          </w:tblGrid>
        </w:tblGridChange>
      </w:tblGrid>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r>
            <w:r w:rsidDel="00000000" w:rsidR="00000000" w:rsidRPr="00000000">
              <w:rPr>
                <w:rFonts w:ascii="Arial" w:cs="Arial" w:eastAsia="Arial" w:hAnsi="Arial"/>
                <w:rtl w:val="0"/>
              </w:rPr>
              <w:t xml:space="preserve">Ventas cooperativas </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C">
            <w:pPr>
              <w:spacing w:after="0" w:line="240" w:lineRule="auto"/>
              <w:jc w:val="left"/>
              <w:rPr>
                <w:rFonts w:ascii="Times New Roman" w:cs="Times New Roman" w:eastAsia="Times New Roman" w:hAnsi="Times New Roman"/>
                <w:sz w:val="24"/>
                <w:szCs w:val="24"/>
              </w:rPr>
            </w:pPr>
            <w:r w:rsidDel="00000000" w:rsidR="00000000" w:rsidRPr="00000000">
              <w:rPr>
                <w:sz w:val="24"/>
                <w:szCs w:val="24"/>
                <w:rtl w:val="0"/>
              </w:rPr>
              <w:t xml:space="preserve">No tienen ventas demostrables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left"/>
              <w:rPr>
                <w:rFonts w:ascii="Times New Roman" w:cs="Times New Roman" w:eastAsia="Times New Roman" w:hAnsi="Times New Roman"/>
                <w:sz w:val="24"/>
                <w:szCs w:val="24"/>
              </w:rPr>
            </w:pPr>
            <w:r w:rsidDel="00000000" w:rsidR="00000000" w:rsidRPr="00000000">
              <w:rPr>
                <w:sz w:val="24"/>
                <w:szCs w:val="24"/>
                <w:rtl w:val="0"/>
              </w:rPr>
              <w:t xml:space="preserve">Tienen ventas demostrables entre 0,1 y 600 UF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ind w:right="-97.91338582677156"/>
              <w:jc w:val="left"/>
              <w:rPr>
                <w:rFonts w:ascii="Times New Roman" w:cs="Times New Roman" w:eastAsia="Times New Roman" w:hAnsi="Times New Roman"/>
                <w:sz w:val="24"/>
                <w:szCs w:val="24"/>
              </w:rPr>
            </w:pPr>
            <w:r w:rsidDel="00000000" w:rsidR="00000000" w:rsidRPr="00000000">
              <w:rPr>
                <w:sz w:val="24"/>
                <w:szCs w:val="24"/>
                <w:rtl w:val="0"/>
              </w:rPr>
              <w:t xml:space="preserve">Tienen ventas demostrables de más de 600,1 UF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2">
      <w:pPr>
        <w:jc w:val="left"/>
        <w:rPr/>
      </w:pPr>
      <w:r w:rsidDel="00000000" w:rsidR="00000000" w:rsidRPr="00000000">
        <w:rPr>
          <w:rtl w:val="0"/>
        </w:rPr>
      </w:r>
    </w:p>
    <w:p w:rsidR="00000000" w:rsidDel="00000000" w:rsidP="00000000" w:rsidRDefault="00000000" w:rsidRPr="00000000" w14:paraId="00000393">
      <w:pPr>
        <w:jc w:val="left"/>
        <w:rPr/>
      </w:pPr>
      <w:r w:rsidDel="00000000" w:rsidR="00000000" w:rsidRPr="00000000">
        <w:rPr>
          <w:rtl w:val="0"/>
        </w:rPr>
      </w:r>
    </w:p>
    <w:p w:rsidR="00000000" w:rsidDel="00000000" w:rsidP="00000000" w:rsidRDefault="00000000" w:rsidRPr="00000000" w14:paraId="00000394">
      <w:pPr>
        <w:jc w:val="left"/>
        <w:rPr/>
      </w:pPr>
      <w:r w:rsidDel="00000000" w:rsidR="00000000" w:rsidRPr="00000000">
        <w:rPr>
          <w:rtl w:val="0"/>
        </w:rPr>
      </w:r>
    </w:p>
    <w:p w:rsidR="00000000" w:rsidDel="00000000" w:rsidP="00000000" w:rsidRDefault="00000000" w:rsidRPr="00000000" w14:paraId="00000395">
      <w:pPr>
        <w:jc w:val="left"/>
        <w:rPr/>
      </w:pPr>
      <w:r w:rsidDel="00000000" w:rsidR="00000000" w:rsidRPr="00000000">
        <w:rPr>
          <w:rtl w:val="0"/>
        </w:rPr>
      </w:r>
    </w:p>
    <w:p w:rsidR="00000000" w:rsidDel="00000000" w:rsidP="00000000" w:rsidRDefault="00000000" w:rsidRPr="00000000" w14:paraId="00000396">
      <w:pPr>
        <w:jc w:val="left"/>
        <w:rPr/>
      </w:pPr>
      <w:r w:rsidDel="00000000" w:rsidR="00000000" w:rsidRPr="00000000">
        <w:rPr>
          <w:rtl w:val="0"/>
        </w:rPr>
      </w:r>
    </w:p>
    <w:p w:rsidR="00000000" w:rsidDel="00000000" w:rsidP="00000000" w:rsidRDefault="00000000" w:rsidRPr="00000000" w14:paraId="00000397">
      <w:pPr>
        <w:jc w:val="left"/>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C">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D">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6">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7">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0">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B1">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D">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E">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C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C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7">
      <w:pPr>
        <w:pStyle w:val="Heading1"/>
        <w:jc w:val="cente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D">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E">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7">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8">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B">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C">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1">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2">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5">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6">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9">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B">
      <w:pPr>
        <w:jc w:val="center"/>
        <w:rPr/>
      </w:pPr>
      <w:r w:rsidDel="00000000" w:rsidR="00000000" w:rsidRPr="00000000">
        <w:rPr>
          <w:rtl w:val="0"/>
        </w:rPr>
      </w:r>
    </w:p>
    <w:p w:rsidR="00000000" w:rsidDel="00000000" w:rsidP="00000000" w:rsidRDefault="00000000" w:rsidRPr="00000000" w14:paraId="000003FC">
      <w:pPr>
        <w:jc w:val="cente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E">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401">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2">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40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7">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8">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B">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C">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D">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1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E">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F">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20">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21">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22">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23">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4">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7">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A">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D">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30">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3">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9">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40">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7">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B">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F">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5">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C">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F">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62">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63">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6">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9">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F">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5">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8">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B">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81">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7">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D">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93">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A">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D">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E">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A1">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7">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D">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B0">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B1">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4">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9">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A">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B">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C">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D">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E">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2">
    <w:pPr>
      <w:tabs>
        <w:tab w:val="center" w:leader="none" w:pos="4419"/>
        <w:tab w:val="right" w:leader="none" w:pos="8838"/>
      </w:tabs>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C2">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C4">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9">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A">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C">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D">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F">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D0">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D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bV82BRFEaN8Oaff0TfG0RbqYg==">CgMxLjAaHwoBMBIaChgICVIUChJ0YWJsZS5zeGE4YWc3M3kzMWUaHwoBMRIaChgICVIUChJ0YWJsZS5lbGI4ZjY4ZGM5MXYyDmguNmt5djJzb2F5bWNjMghoLmdqZGd4czIOaC5iaXZ3Z3VjeDFiM3QyDmguM2ZnY3FkamtqMTZiMg5oLmR1bWRwaDFhc3duaT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bFRyYzRFN0pUaUFHeTh5MEdhNHZlelJEQWh6cmVOL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