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BIOBIO</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C">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F">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1">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2">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7">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8">
      <w:pPr>
        <w:spacing w:after="0" w:line="276" w:lineRule="auto"/>
        <w:rPr/>
      </w:pP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A">
      <w:pPr>
        <w:spacing w:after="0" w:line="276" w:lineRule="auto"/>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C">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D">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spacing w:after="0" w:line="240" w:lineRule="auto"/>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2">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5">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8">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A">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F">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4">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5">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9">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3">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5">
      <w:pPr>
        <w:pStyle w:val="Heading1"/>
        <w:rPr/>
      </w:pPr>
      <w:r w:rsidDel="00000000" w:rsidR="00000000" w:rsidRPr="00000000">
        <w:rPr>
          <w:rtl w:val="0"/>
        </w:rPr>
        <w:t xml:space="preserve">6. ¿Qué financia este programa?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8">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5">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8">
      <w:pPr>
        <w:pStyle w:val="Heading2"/>
        <w:rPr/>
      </w:pPr>
      <w:r w:rsidDel="00000000" w:rsidR="00000000" w:rsidRPr="00000000">
        <w:rPr>
          <w:rtl w:val="0"/>
        </w:rPr>
        <w:t xml:space="preserve">6.2. ¿Qué NO Financia?</w:t>
      </w:r>
    </w:p>
    <w:p w:rsidR="00000000" w:rsidDel="00000000" w:rsidP="00000000" w:rsidRDefault="00000000" w:rsidRPr="00000000" w14:paraId="000000A9">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5">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6">
      <w:pPr>
        <w:pStyle w:val="Heading1"/>
        <w:rPr/>
      </w:pPr>
      <w:r w:rsidDel="00000000" w:rsidR="00000000" w:rsidRPr="00000000">
        <w:rPr>
          <w:rtl w:val="0"/>
        </w:rPr>
        <w:t xml:space="preserve">7 Postulación</w:t>
      </w:r>
    </w:p>
    <w:p w:rsidR="00000000" w:rsidDel="00000000" w:rsidP="00000000" w:rsidRDefault="00000000" w:rsidRPr="00000000" w14:paraId="000000B7">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8">
      <w:pPr>
        <w:pStyle w:val="Heading2"/>
        <w:rPr/>
      </w:pPr>
      <w:r w:rsidDel="00000000" w:rsidR="00000000" w:rsidRPr="00000000">
        <w:rPr>
          <w:rtl w:val="0"/>
        </w:rPr>
        <w:t xml:space="preserve">7.1. Plazos de Postulación</w:t>
      </w:r>
    </w:p>
    <w:p w:rsidR="00000000" w:rsidDel="00000000" w:rsidP="00000000" w:rsidRDefault="00000000" w:rsidRPr="00000000" w14:paraId="000000B9">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D">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6">
      <w:pPr>
        <w:pStyle w:val="Heading2"/>
        <w:rPr/>
      </w:pPr>
      <w:r w:rsidDel="00000000" w:rsidR="00000000" w:rsidRPr="00000000">
        <w:rPr>
          <w:rtl w:val="0"/>
        </w:rPr>
        <w:t xml:space="preserve">7.2. Pasos para Postular</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C">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4">
      <w:pPr>
        <w:pStyle w:val="Heading1"/>
        <w:rPr/>
      </w:pPr>
      <w:r w:rsidDel="00000000" w:rsidR="00000000" w:rsidRPr="00000000">
        <w:rPr>
          <w:rtl w:val="0"/>
        </w:rPr>
        <w:t xml:space="preserve">8. Evaluación y Selección</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8">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9">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A">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B">
      <w:pPr>
        <w:spacing w:after="0" w:lineRule="auto"/>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D">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1">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3">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5">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8">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9">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A">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B">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C">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D">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E">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F">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0">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1">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2">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3">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4">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5">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6">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7">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8">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9">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Criterio regional</w:t>
            </w:r>
            <w:r w:rsidDel="00000000" w:rsidR="00000000" w:rsidRPr="00000000">
              <w:rPr>
                <w:rFonts w:ascii="Calibri" w:cs="Calibri" w:eastAsia="Calibri" w:hAnsi="Calibri"/>
                <w:b w:val="1"/>
                <w:sz w:val="20"/>
                <w:szCs w:val="20"/>
                <w:rtl w:val="0"/>
              </w:rPr>
              <w:t xml:space="preserve">: </w:t>
            </w:r>
            <w:r w:rsidDel="00000000" w:rsidR="00000000" w:rsidRPr="00000000">
              <w:rPr>
                <w:sz w:val="18"/>
                <w:szCs w:val="18"/>
                <w:rtl w:val="0"/>
              </w:rPr>
              <w:t xml:space="preserve">Montos de Venta de la Cooperativa: Corresponde al total de ventas netas realizadas por la cooperativa en los últimos 12 meses, expresadas en Unidades de Fomento (UF). Para la conversión, se utilizará el valor de la UF correspondiente al día de apertura de la convocatoria. La evaluación se realizará según los siguientes rangos</w:t>
            </w:r>
            <w:r w:rsidDel="00000000" w:rsidR="00000000" w:rsidRPr="00000000">
              <w:rPr>
                <w:rtl w:val="0"/>
              </w:rPr>
            </w:r>
          </w:p>
        </w:tc>
        <w:tc>
          <w:tcPr/>
          <w:p w:rsidR="00000000" w:rsidDel="00000000" w:rsidP="00000000" w:rsidRDefault="00000000" w:rsidRPr="00000000" w14:paraId="000000FA">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B">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C">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13">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4">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5">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6">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D">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F">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1">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2">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3">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5">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8">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A">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0">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1">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2">
      <w:pPr>
        <w:rPr>
          <w:b w:val="1"/>
          <w:sz w:val="24"/>
          <w:szCs w:val="24"/>
        </w:rPr>
      </w:pPr>
      <w:r w:rsidDel="00000000" w:rsidR="00000000" w:rsidRPr="00000000">
        <w:rPr>
          <w:rtl w:val="0"/>
        </w:rPr>
      </w:r>
    </w:p>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4">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5">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6">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7">
      <w:pPr>
        <w:pStyle w:val="Heading1"/>
        <w:rPr/>
      </w:pPr>
      <w:r w:rsidDel="00000000" w:rsidR="00000000" w:rsidRPr="00000000">
        <w:rPr>
          <w:rtl w:val="0"/>
        </w:rPr>
        <w:t xml:space="preserve">8.5 Aviso de Resultados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A">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B">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C">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D">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F">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0">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1">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2">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4">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6">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7">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A">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B">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C">
      <w:pPr>
        <w:rPr/>
      </w:pPr>
      <w:r w:rsidDel="00000000" w:rsidR="00000000" w:rsidRPr="00000000">
        <w:rPr>
          <w:rtl w:val="0"/>
        </w:rPr>
        <w:t xml:space="preserve">      </w:t>
      </w:r>
    </w:p>
    <w:p w:rsidR="00000000" w:rsidDel="00000000" w:rsidP="00000000" w:rsidRDefault="00000000" w:rsidRPr="00000000" w14:paraId="0000014D">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E">
      <w:pPr>
        <w:pStyle w:val="Heading1"/>
        <w:rPr/>
      </w:pPr>
      <w:r w:rsidDel="00000000" w:rsidR="00000000" w:rsidRPr="00000000">
        <w:rPr>
          <w:rtl w:val="0"/>
        </w:rPr>
        <w:t xml:space="preserve">10. Ejecución y Seguimiento</w:t>
      </w:r>
    </w:p>
    <w:p w:rsidR="00000000" w:rsidDel="00000000" w:rsidP="00000000" w:rsidRDefault="00000000" w:rsidRPr="00000000" w14:paraId="0000014F">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0">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1">
      <w:pPr>
        <w:spacing w:line="256" w:lineRule="auto"/>
        <w:rPr/>
      </w:pPr>
      <w:bookmarkStart w:colFirst="0" w:colLast="0" w:name="_heading=h.3e7ldk5tlle"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2">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3">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4">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5">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6">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7">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8">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9">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A">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B">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C">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D">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E">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5">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7">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B">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C">
      <w:pPr>
        <w:pStyle w:val="Heading1"/>
        <w:rPr/>
      </w:pPr>
      <w:r w:rsidDel="00000000" w:rsidR="00000000" w:rsidRPr="00000000">
        <w:rPr>
          <w:rtl w:val="0"/>
        </w:rPr>
        <w:t xml:space="preserve">11. Término del Proyecto</w:t>
      </w:r>
    </w:p>
    <w:p w:rsidR="00000000" w:rsidDel="00000000" w:rsidP="00000000" w:rsidRDefault="00000000" w:rsidRPr="00000000" w14:paraId="0000016D">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E">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F">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70">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1">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72">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3">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4">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5">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6">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7">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8">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9">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A">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B">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C">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D">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E">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F">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4">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5">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6">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D">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E">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6">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0">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4">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5">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7">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9">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A">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D">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E">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F">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0">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2">
            <w:pPr>
              <w:rPr>
                <w:rFonts w:ascii="Calibri" w:cs="Calibri" w:eastAsia="Calibri" w:hAnsi="Calibri"/>
              </w:rPr>
            </w:pPr>
            <w:r w:rsidDel="00000000" w:rsidR="00000000" w:rsidRPr="00000000">
              <w:rPr>
                <w:rtl w:val="0"/>
              </w:rPr>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5">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6">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7">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8">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9">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A">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B">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C">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D">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E">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F">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0">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1">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2">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4">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5">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6">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A">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B">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D">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E">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0">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1">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7">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8">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9">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A">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B">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F">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2">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3">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C">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F">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1">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3">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8">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0">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7">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D">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6">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B">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C">
      <w:pPr>
        <w:rPr>
          <w:sz w:val="2"/>
          <w:szCs w:val="2"/>
        </w:rPr>
      </w:pPr>
      <w:r w:rsidDel="00000000" w:rsidR="00000000" w:rsidRPr="00000000">
        <w:rPr>
          <w:rtl w:val="0"/>
        </w:rPr>
      </w:r>
    </w:p>
    <w:p w:rsidR="00000000" w:rsidDel="00000000" w:rsidP="00000000" w:rsidRDefault="00000000" w:rsidRPr="00000000" w14:paraId="0000025D">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E">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F">
      <w:pPr>
        <w:rPr>
          <w:sz w:val="2"/>
          <w:szCs w:val="2"/>
        </w:rPr>
      </w:pPr>
      <w:r w:rsidDel="00000000" w:rsidR="00000000" w:rsidRPr="00000000">
        <w:rPr>
          <w:rtl w:val="0"/>
        </w:rPr>
      </w:r>
    </w:p>
    <w:p w:rsidR="00000000" w:rsidDel="00000000" w:rsidP="00000000" w:rsidRDefault="00000000" w:rsidRPr="00000000" w14:paraId="00000260">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1">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Marcar según corresponda;</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8">
      <w:pPr>
        <w:rPr/>
      </w:pPr>
      <w:r w:rsidDel="00000000" w:rsidR="00000000" w:rsidRPr="00000000">
        <w:rPr>
          <w:rtl w:val="0"/>
        </w:rPr>
        <w:t xml:space="preserve">Dan fe de esta información con sus firmas;</w:t>
      </w:r>
    </w:p>
    <w:p w:rsidR="00000000" w:rsidDel="00000000" w:rsidP="00000000" w:rsidRDefault="00000000" w:rsidRPr="00000000" w14:paraId="00000269">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sz w:val="26"/>
          <w:szCs w:val="26"/>
        </w:rPr>
      </w:pPr>
      <w:r w:rsidDel="00000000" w:rsidR="00000000" w:rsidRPr="00000000">
        <w:rPr>
          <w:rtl w:val="0"/>
        </w:rPr>
      </w:r>
    </w:p>
    <w:p w:rsidR="00000000" w:rsidDel="00000000" w:rsidP="00000000" w:rsidRDefault="00000000" w:rsidRPr="00000000" w14:paraId="00000275">
      <w:pPr>
        <w:rPr>
          <w:b w:val="1"/>
          <w:sz w:val="26"/>
          <w:szCs w:val="26"/>
        </w:rPr>
      </w:pPr>
      <w:r w:rsidDel="00000000" w:rsidR="00000000" w:rsidRPr="00000000">
        <w:rPr>
          <w:rtl w:val="0"/>
        </w:rPr>
      </w:r>
    </w:p>
    <w:p w:rsidR="00000000" w:rsidDel="00000000" w:rsidP="00000000" w:rsidRDefault="00000000" w:rsidRPr="00000000" w14:paraId="00000276">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9">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A">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B">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C">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D">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E">
      <w:pPr>
        <w:spacing w:after="200" w:line="276" w:lineRule="auto"/>
        <w:ind w:left="1065" w:firstLine="0"/>
        <w:rPr/>
      </w:pPr>
      <w:r w:rsidDel="00000000" w:rsidR="00000000" w:rsidRPr="00000000">
        <w:rPr>
          <w:rtl w:val="0"/>
        </w:rPr>
      </w:r>
    </w:p>
    <w:p w:rsidR="00000000" w:rsidDel="00000000" w:rsidP="00000000" w:rsidRDefault="00000000" w:rsidRPr="00000000" w14:paraId="0000027F">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0">
      <w:pPr>
        <w:spacing w:after="200" w:line="276" w:lineRule="auto"/>
        <w:rPr/>
      </w:pPr>
      <w:r w:rsidDel="00000000" w:rsidR="00000000" w:rsidRPr="00000000">
        <w:rPr>
          <w:rtl w:val="0"/>
        </w:rPr>
      </w:r>
    </w:p>
    <w:p w:rsidR="00000000" w:rsidDel="00000000" w:rsidP="00000000" w:rsidRDefault="00000000" w:rsidRPr="00000000" w14:paraId="00000281">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5">
      <w:pPr>
        <w:rPr>
          <w:b w:val="1"/>
          <w:sz w:val="26"/>
          <w:szCs w:val="26"/>
        </w:rPr>
      </w:pPr>
      <w:r w:rsidDel="00000000" w:rsidR="00000000" w:rsidRPr="00000000">
        <w:rPr>
          <w:rtl w:val="0"/>
        </w:rPr>
      </w:r>
    </w:p>
    <w:p w:rsidR="00000000" w:rsidDel="00000000" w:rsidP="00000000" w:rsidRDefault="00000000" w:rsidRPr="00000000" w14:paraId="00000286">
      <w:pPr>
        <w:rPr>
          <w:b w:val="1"/>
          <w:sz w:val="26"/>
          <w:szCs w:val="26"/>
        </w:rPr>
      </w:pPr>
      <w:r w:rsidDel="00000000" w:rsidR="00000000" w:rsidRPr="00000000">
        <w:rPr>
          <w:rtl w:val="0"/>
        </w:rPr>
      </w:r>
    </w:p>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0">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2">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4">
      <w:pPr>
        <w:rPr/>
      </w:pPr>
      <w:r w:rsidDel="00000000" w:rsidR="00000000" w:rsidRPr="00000000">
        <w:rPr>
          <w:rtl w:val="0"/>
        </w:rPr>
        <w:t xml:space="preserve">Da fe de con su firma;</w:t>
      </w:r>
    </w:p>
    <w:p w:rsidR="00000000" w:rsidDel="00000000" w:rsidP="00000000" w:rsidRDefault="00000000" w:rsidRPr="00000000" w14:paraId="00000295">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6">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9">
      <w:pPr>
        <w:ind w:left="1060" w:firstLine="0"/>
        <w:rPr/>
      </w:pPr>
      <w:r w:rsidDel="00000000" w:rsidR="00000000" w:rsidRPr="00000000">
        <w:rPr>
          <w:rtl w:val="0"/>
        </w:rPr>
      </w:r>
    </w:p>
    <w:p w:rsidR="00000000" w:rsidDel="00000000" w:rsidP="00000000" w:rsidRDefault="00000000" w:rsidRPr="00000000" w14:paraId="0000029A">
      <w:pPr>
        <w:ind w:left="1060" w:firstLine="0"/>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E">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1">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2">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6">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0">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3">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4">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5">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6">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7">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8">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9">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pPr>
                <w:r w:rsidDel="00000000" w:rsidR="00000000" w:rsidRPr="00000000">
                  <w:rPr>
                    <w:rtl w:val="0"/>
                  </w:rPr>
                </w:r>
              </w:p>
            </w:tc>
            <w:tc>
              <w:tcPr/>
              <w:p w:rsidR="00000000" w:rsidDel="00000000" w:rsidP="00000000" w:rsidRDefault="00000000" w:rsidRPr="00000000" w14:paraId="000002E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F">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pPr>
                <w:r w:rsidDel="00000000" w:rsidR="00000000" w:rsidRPr="00000000">
                  <w:rPr>
                    <w:rtl w:val="0"/>
                  </w:rPr>
                </w:r>
              </w:p>
            </w:tc>
            <w:tc>
              <w:tcPr/>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4">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pPr>
                <w:r w:rsidDel="00000000" w:rsidR="00000000" w:rsidRPr="00000000">
                  <w:rPr>
                    <w:rtl w:val="0"/>
                  </w:rPr>
                </w:r>
              </w:p>
            </w:tc>
            <w:tc>
              <w:tcPr/>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9">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pPr>
                <w:r w:rsidDel="00000000" w:rsidR="00000000" w:rsidRPr="00000000">
                  <w:rPr>
                    <w:rtl w:val="0"/>
                  </w:rPr>
                </w:r>
              </w:p>
            </w:tc>
            <w:tc>
              <w:tcPr/>
              <w:p w:rsidR="00000000" w:rsidDel="00000000" w:rsidP="00000000" w:rsidRDefault="00000000" w:rsidRPr="00000000" w14:paraId="000002F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E">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pPr>
                <w:r w:rsidDel="00000000" w:rsidR="00000000" w:rsidRPr="00000000">
                  <w:rPr>
                    <w:rtl w:val="0"/>
                  </w:rPr>
                </w:r>
              </w:p>
            </w:tc>
            <w:tc>
              <w:tcPr/>
              <w:p w:rsidR="00000000" w:rsidDel="00000000" w:rsidP="00000000" w:rsidRDefault="00000000" w:rsidRPr="00000000" w14:paraId="0000030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3">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pPr>
                <w:r w:rsidDel="00000000" w:rsidR="00000000" w:rsidRPr="00000000">
                  <w:rPr>
                    <w:rtl w:val="0"/>
                  </w:rPr>
                </w:r>
              </w:p>
            </w:tc>
            <w:tc>
              <w:tcPr/>
              <w:p w:rsidR="00000000" w:rsidDel="00000000" w:rsidP="00000000" w:rsidRDefault="00000000" w:rsidRPr="00000000" w14:paraId="0000030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8">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pPr>
                <w:r w:rsidDel="00000000" w:rsidR="00000000" w:rsidRPr="00000000">
                  <w:rPr>
                    <w:rtl w:val="0"/>
                  </w:rPr>
                </w:r>
              </w:p>
            </w:tc>
            <w:tc>
              <w:tcPr/>
              <w:p w:rsidR="00000000" w:rsidDel="00000000" w:rsidP="00000000" w:rsidRDefault="00000000" w:rsidRPr="00000000" w14:paraId="0000030C">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D">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E">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pPr>
                <w:r w:rsidDel="00000000" w:rsidR="00000000" w:rsidRPr="00000000">
                  <w:rPr>
                    <w:rtl w:val="0"/>
                  </w:rPr>
                </w:r>
              </w:p>
            </w:tc>
            <w:tc>
              <w:tcPr/>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2">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3">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4">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pPr>
                <w:r w:rsidDel="00000000" w:rsidR="00000000" w:rsidRPr="00000000">
                  <w:rPr>
                    <w:rtl w:val="0"/>
                  </w:rPr>
                </w:r>
              </w:p>
            </w:tc>
            <w:tc>
              <w:tcPr/>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7">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8">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pPr>
                <w:r w:rsidDel="00000000" w:rsidR="00000000" w:rsidRPr="00000000">
                  <w:rPr>
                    <w:rtl w:val="0"/>
                  </w:rPr>
                </w:r>
              </w:p>
            </w:tc>
            <w:tc>
              <w:tcPr/>
              <w:p w:rsidR="00000000" w:rsidDel="00000000" w:rsidP="00000000" w:rsidRDefault="00000000" w:rsidRPr="00000000" w14:paraId="0000031B">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D">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E">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jc w:val="center"/>
                  <w:rPr/>
                </w:pPr>
                <w:r w:rsidDel="00000000" w:rsidR="00000000" w:rsidRPr="00000000">
                  <w:rPr>
                    <w:rtl w:val="0"/>
                  </w:rPr>
                </w:r>
              </w:p>
            </w:tc>
            <w:tc>
              <w:tcPr/>
              <w:p w:rsidR="00000000" w:rsidDel="00000000" w:rsidP="00000000" w:rsidRDefault="00000000" w:rsidRPr="00000000" w14:paraId="00000320">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1">
      <w:pPr>
        <w:jc w:val="center"/>
        <w:rPr/>
      </w:pPr>
      <w:r w:rsidDel="00000000" w:rsidR="00000000" w:rsidRPr="00000000">
        <w:rPr>
          <w:rtl w:val="0"/>
        </w:rPr>
      </w:r>
    </w:p>
    <w:p w:rsidR="00000000" w:rsidDel="00000000" w:rsidP="00000000" w:rsidRDefault="00000000" w:rsidRPr="00000000" w14:paraId="00000322">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3">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4">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ind w:left="-708" w:firstLine="0"/>
        <w:rPr/>
      </w:pPr>
      <w:r w:rsidDel="00000000" w:rsidR="00000000" w:rsidRPr="00000000">
        <w:rPr>
          <w:rtl w:val="0"/>
        </w:rPr>
      </w:r>
    </w:p>
    <w:p w:rsidR="00000000" w:rsidDel="00000000" w:rsidP="00000000" w:rsidRDefault="00000000" w:rsidRPr="00000000" w14:paraId="00000329">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A">
      <w:pPr>
        <w:rPr/>
      </w:pPr>
      <w:r w:rsidDel="00000000" w:rsidR="00000000" w:rsidRPr="00000000">
        <w:rPr>
          <w:rtl w:val="0"/>
        </w:rPr>
        <w:t xml:space="preserve"> </w:t>
      </w:r>
    </w:p>
    <w:p w:rsidR="00000000" w:rsidDel="00000000" w:rsidP="00000000" w:rsidRDefault="00000000" w:rsidRPr="00000000" w14:paraId="0000032B">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C">
      <w:pPr>
        <w:rPr/>
      </w:pPr>
      <w:r w:rsidDel="00000000" w:rsidR="00000000" w:rsidRPr="00000000">
        <w:rPr>
          <w:rtl w:val="0"/>
        </w:rPr>
        <w:t xml:space="preserve"> </w:t>
      </w:r>
    </w:p>
    <w:p w:rsidR="00000000" w:rsidDel="00000000" w:rsidP="00000000" w:rsidRDefault="00000000" w:rsidRPr="00000000" w14:paraId="0000032D">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E">
      <w:pPr>
        <w:spacing w:line="360" w:lineRule="auto"/>
        <w:jc w:val="center"/>
        <w:rPr/>
      </w:pPr>
      <w:r w:rsidDel="00000000" w:rsidR="00000000" w:rsidRPr="00000000">
        <w:rPr>
          <w:rtl w:val="0"/>
        </w:rPr>
        <w:t xml:space="preserve"> </w:t>
      </w:r>
    </w:p>
    <w:p w:rsidR="00000000" w:rsidDel="00000000" w:rsidP="00000000" w:rsidRDefault="00000000" w:rsidRPr="00000000" w14:paraId="0000032F">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0">
      <w:pPr>
        <w:spacing w:line="276" w:lineRule="auto"/>
        <w:jc w:val="center"/>
        <w:rPr/>
      </w:pPr>
      <w:r w:rsidDel="00000000" w:rsidR="00000000" w:rsidRPr="00000000">
        <w:rPr>
          <w:rtl w:val="0"/>
        </w:rPr>
        <w:t xml:space="preserve">Nombre</w:t>
      </w:r>
    </w:p>
    <w:p w:rsidR="00000000" w:rsidDel="00000000" w:rsidP="00000000" w:rsidRDefault="00000000" w:rsidRPr="00000000" w14:paraId="00000331">
      <w:pPr>
        <w:spacing w:line="276" w:lineRule="auto"/>
        <w:jc w:val="center"/>
        <w:rPr/>
      </w:pPr>
      <w:r w:rsidDel="00000000" w:rsidR="00000000" w:rsidRPr="00000000">
        <w:rPr>
          <w:rtl w:val="0"/>
        </w:rPr>
        <w:t xml:space="preserve">RUT</w:t>
      </w:r>
    </w:p>
    <w:p w:rsidR="00000000" w:rsidDel="00000000" w:rsidP="00000000" w:rsidRDefault="00000000" w:rsidRPr="00000000" w14:paraId="00000332">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3">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4">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5">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E">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F">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2">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8">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A">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D">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E">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3">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4">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6">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7">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A">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B">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E">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F">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4">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5">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8">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0">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2">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3">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spacing w:after="0" w:line="240" w:lineRule="auto"/>
        <w:rPr/>
      </w:pPr>
      <w:r w:rsidDel="00000000" w:rsidR="00000000" w:rsidRPr="00000000">
        <w:rPr>
          <w:rtl w:val="0"/>
        </w:rPr>
      </w:r>
    </w:p>
    <w:p w:rsidR="00000000" w:rsidDel="00000000" w:rsidP="00000000" w:rsidRDefault="00000000" w:rsidRPr="00000000" w14:paraId="00000388">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835.0" w:type="dxa"/>
        <w:jc w:val="left"/>
        <w:tblLayout w:type="fixed"/>
        <w:tblLook w:val="0400"/>
      </w:tblPr>
      <w:tblGrid>
        <w:gridCol w:w="2685"/>
        <w:gridCol w:w="2835"/>
        <w:gridCol w:w="3315"/>
        <w:tblGridChange w:id="0">
          <w:tblGrid>
            <w:gridCol w:w="2685"/>
            <w:gridCol w:w="2835"/>
            <w:gridCol w:w="3315"/>
          </w:tblGrid>
        </w:tblGridChange>
      </w:tblGrid>
      <w:tr>
        <w:trPr>
          <w:cantSplit w:val="0"/>
          <w:trHeight w:val="1742.87109375"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9. Criterio regional </w:t>
              <w:tab/>
            </w:r>
          </w:p>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br w:type="textWrapping"/>
              <w:t xml:space="preserve">Montos de Venta de la Cooperativa: Corresponde al total de ventas netas realizadas por la cooperativa en los últimos 12 meses, expresadas en Unidades de Fomento (UF). Para la conversión, se utilizará el valor de la UF correspondiente al día de apertura de la convocatoria. La evaluación se realizará según los siguientes rangos</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left"/>
              <w:rPr>
                <w:rFonts w:ascii="Times New Roman" w:cs="Times New Roman" w:eastAsia="Times New Roman" w:hAnsi="Times New Roman"/>
                <w:sz w:val="24"/>
                <w:szCs w:val="24"/>
              </w:rPr>
            </w:pPr>
            <w:r w:rsidDel="00000000" w:rsidR="00000000" w:rsidRPr="00000000">
              <w:rPr>
                <w:sz w:val="24"/>
                <w:szCs w:val="24"/>
                <w:rtl w:val="0"/>
              </w:rPr>
              <w:t xml:space="preserve">No tienen ventas demostrables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jc w:val="left"/>
              <w:rPr>
                <w:rFonts w:ascii="Times New Roman" w:cs="Times New Roman" w:eastAsia="Times New Roman" w:hAnsi="Times New Roman"/>
                <w:sz w:val="24"/>
                <w:szCs w:val="24"/>
              </w:rPr>
            </w:pPr>
            <w:r w:rsidDel="00000000" w:rsidR="00000000" w:rsidRPr="00000000">
              <w:rPr>
                <w:sz w:val="24"/>
                <w:szCs w:val="24"/>
                <w:rtl w:val="0"/>
              </w:rPr>
              <w:t xml:space="preserve">Tienen ventas demostrables entre 0,1 y 600 UF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ind w:right="-97.91338582677156"/>
              <w:jc w:val="left"/>
              <w:rPr>
                <w:rFonts w:ascii="Times New Roman" w:cs="Times New Roman" w:eastAsia="Times New Roman" w:hAnsi="Times New Roman"/>
                <w:sz w:val="24"/>
                <w:szCs w:val="24"/>
              </w:rPr>
            </w:pPr>
            <w:r w:rsidDel="00000000" w:rsidR="00000000" w:rsidRPr="00000000">
              <w:rPr>
                <w:sz w:val="24"/>
                <w:szCs w:val="24"/>
                <w:rtl w:val="0"/>
              </w:rPr>
              <w:t xml:space="preserve">Tienen ventas demostrables de más de 600,1 UF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3">
      <w:pPr>
        <w:jc w:val="left"/>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7">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8">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1">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2">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9">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B">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C">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8">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9">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2">
      <w:pPr>
        <w:pStyle w:val="Heading1"/>
        <w:jc w:val="cente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8">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9">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2">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3">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6">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7">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8">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C">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D">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0">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1">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6">
      <w:pPr>
        <w:jc w:val="center"/>
        <w:rPr/>
      </w:pPr>
      <w:r w:rsidDel="00000000" w:rsidR="00000000" w:rsidRPr="00000000">
        <w:rPr>
          <w:rtl w:val="0"/>
        </w:rPr>
      </w:r>
    </w:p>
    <w:p w:rsidR="00000000" w:rsidDel="00000000" w:rsidP="00000000" w:rsidRDefault="00000000" w:rsidRPr="00000000" w14:paraId="000003F7">
      <w:pPr>
        <w:jc w:val="cente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9">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C">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D">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E">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2">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3">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6">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8">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9">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A">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F">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2">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5">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8">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B">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1">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4">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B">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A">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D">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0">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7">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A">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D">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E">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1">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4">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A">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D">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0">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3">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6">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C">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2">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5">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8">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B">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E">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5">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C">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2">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8">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F">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5">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8">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9">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D">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F">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4">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7">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8">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A">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B">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EyOf14OdZMnp7IxGyhMZrCTQ==">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