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7D5C778A"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1833EC" w:rsidRPr="001833EC">
        <w:rPr>
          <w:rFonts w:eastAsia="Arial Unicode MS" w:cs="Arial"/>
          <w:b/>
          <w:bCs/>
          <w:sz w:val="40"/>
          <w:szCs w:val="40"/>
        </w:rPr>
        <w:t xml:space="preserve">MULTISECTORIAL, PROVINCIA DE SANTIAGO Y </w:t>
      </w:r>
      <w:r w:rsidR="001833EC" w:rsidRPr="001833EC">
        <w:rPr>
          <w:rFonts w:eastAsia="Arial Unicode MS" w:cs="Arial"/>
          <w:b/>
          <w:bCs/>
          <w:iCs/>
          <w:sz w:val="40"/>
          <w:szCs w:val="40"/>
          <w:lang w:val="es-CL"/>
        </w:rPr>
        <w:t>COMUNAS DE SAN BERNARDO Y PUENTE ALTO</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199CD6BA"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1833EC">
        <w:rPr>
          <w:rFonts w:eastAsia="Arial Unicode MS" w:cs="Arial"/>
          <w:b/>
          <w:bCs/>
          <w:sz w:val="40"/>
          <w:szCs w:val="40"/>
        </w:rPr>
        <w:t>METROPOLITANA</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2BA15A90"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105BE9">
              <w:rPr>
                <w:webHidden/>
              </w:rPr>
              <w:t>3</w:t>
            </w:r>
            <w:r w:rsidR="002A7C61">
              <w:rPr>
                <w:webHidden/>
              </w:rPr>
              <w:fldChar w:fldCharType="end"/>
            </w:r>
          </w:hyperlink>
        </w:p>
        <w:p w14:paraId="1CEEF931" w14:textId="4F519464" w:rsidR="002A7C61" w:rsidRDefault="00E74EDF"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105BE9">
              <w:rPr>
                <w:webHidden/>
              </w:rPr>
              <w:t>3</w:t>
            </w:r>
            <w:r w:rsidR="002A7C61">
              <w:rPr>
                <w:webHidden/>
              </w:rPr>
              <w:fldChar w:fldCharType="end"/>
            </w:r>
          </w:hyperlink>
        </w:p>
        <w:p w14:paraId="16DA9A6E" w14:textId="037BD2D7" w:rsidR="002A7C61" w:rsidRDefault="00E74EDF">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105BE9">
              <w:rPr>
                <w:webHidden/>
              </w:rPr>
              <w:t>3</w:t>
            </w:r>
            <w:r w:rsidR="002A7C61">
              <w:rPr>
                <w:webHidden/>
              </w:rPr>
              <w:fldChar w:fldCharType="end"/>
            </w:r>
          </w:hyperlink>
        </w:p>
        <w:p w14:paraId="5B632854" w14:textId="794ACA4A" w:rsidR="002A7C61" w:rsidRDefault="00E74EDF">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105BE9">
              <w:rPr>
                <w:webHidden/>
              </w:rPr>
              <w:t>4</w:t>
            </w:r>
            <w:r w:rsidR="002A7C61">
              <w:rPr>
                <w:webHidden/>
              </w:rPr>
              <w:fldChar w:fldCharType="end"/>
            </w:r>
          </w:hyperlink>
        </w:p>
        <w:p w14:paraId="060F0B77" w14:textId="2E713A30" w:rsidR="002A7C61" w:rsidRDefault="00E74EDF">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105BE9">
              <w:rPr>
                <w:webHidden/>
              </w:rPr>
              <w:t>4</w:t>
            </w:r>
            <w:r w:rsidR="002A7C61">
              <w:rPr>
                <w:webHidden/>
              </w:rPr>
              <w:fldChar w:fldCharType="end"/>
            </w:r>
          </w:hyperlink>
        </w:p>
        <w:p w14:paraId="0A378BC2" w14:textId="3CB4C141" w:rsidR="002A7C61" w:rsidRDefault="00E74EDF">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105BE9">
              <w:rPr>
                <w:webHidden/>
              </w:rPr>
              <w:t>5</w:t>
            </w:r>
            <w:r w:rsidR="002A7C61">
              <w:rPr>
                <w:webHidden/>
              </w:rPr>
              <w:fldChar w:fldCharType="end"/>
            </w:r>
          </w:hyperlink>
        </w:p>
        <w:p w14:paraId="0FF93572" w14:textId="677BFF71" w:rsidR="002A7C61" w:rsidRDefault="00E74EDF">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105BE9">
              <w:rPr>
                <w:webHidden/>
              </w:rPr>
              <w:t>5</w:t>
            </w:r>
            <w:r w:rsidR="002A7C61">
              <w:rPr>
                <w:webHidden/>
              </w:rPr>
              <w:fldChar w:fldCharType="end"/>
            </w:r>
          </w:hyperlink>
        </w:p>
        <w:p w14:paraId="66841115" w14:textId="6F31C5C5" w:rsidR="002A7C61" w:rsidRDefault="00E74EDF">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105BE9">
              <w:rPr>
                <w:webHidden/>
              </w:rPr>
              <w:t>7</w:t>
            </w:r>
            <w:r w:rsidR="002A7C61">
              <w:rPr>
                <w:webHidden/>
              </w:rPr>
              <w:fldChar w:fldCharType="end"/>
            </w:r>
          </w:hyperlink>
        </w:p>
        <w:p w14:paraId="73903515" w14:textId="50891931" w:rsidR="002A7C61" w:rsidRDefault="00E74EDF">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105BE9">
              <w:rPr>
                <w:webHidden/>
              </w:rPr>
              <w:t>8</w:t>
            </w:r>
            <w:r w:rsidR="002A7C61">
              <w:rPr>
                <w:webHidden/>
              </w:rPr>
              <w:fldChar w:fldCharType="end"/>
            </w:r>
          </w:hyperlink>
        </w:p>
        <w:p w14:paraId="7E515A64" w14:textId="0D1C9942" w:rsidR="002A7C61" w:rsidRDefault="00E74EDF">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105BE9">
              <w:rPr>
                <w:webHidden/>
              </w:rPr>
              <w:t>8</w:t>
            </w:r>
            <w:r w:rsidR="002A7C61">
              <w:rPr>
                <w:webHidden/>
              </w:rPr>
              <w:fldChar w:fldCharType="end"/>
            </w:r>
          </w:hyperlink>
        </w:p>
        <w:p w14:paraId="1205A099" w14:textId="5E6DB58F" w:rsidR="002A7C61" w:rsidRDefault="00E74EDF">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105BE9">
              <w:rPr>
                <w:webHidden/>
              </w:rPr>
              <w:t>9</w:t>
            </w:r>
            <w:r w:rsidR="002A7C61">
              <w:rPr>
                <w:webHidden/>
              </w:rPr>
              <w:fldChar w:fldCharType="end"/>
            </w:r>
          </w:hyperlink>
        </w:p>
        <w:p w14:paraId="7CEEC134" w14:textId="3BF85307" w:rsidR="002A7C61" w:rsidRDefault="00E74EDF">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105BE9">
              <w:rPr>
                <w:webHidden/>
              </w:rPr>
              <w:t>14</w:t>
            </w:r>
            <w:r w:rsidR="002A7C61">
              <w:rPr>
                <w:webHidden/>
              </w:rPr>
              <w:fldChar w:fldCharType="end"/>
            </w:r>
          </w:hyperlink>
        </w:p>
        <w:p w14:paraId="6E76EDDC" w14:textId="57895A67" w:rsidR="002A7C61" w:rsidRDefault="00E74EDF">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105BE9">
              <w:rPr>
                <w:webHidden/>
              </w:rPr>
              <w:t>14</w:t>
            </w:r>
            <w:r w:rsidR="002A7C61">
              <w:rPr>
                <w:webHidden/>
              </w:rPr>
              <w:fldChar w:fldCharType="end"/>
            </w:r>
          </w:hyperlink>
        </w:p>
        <w:p w14:paraId="6390086E" w14:textId="7009BE4F" w:rsidR="002A7C61" w:rsidRDefault="00E74EDF">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105BE9">
              <w:rPr>
                <w:webHidden/>
              </w:rPr>
              <w:t>14</w:t>
            </w:r>
            <w:r w:rsidR="002A7C61">
              <w:rPr>
                <w:webHidden/>
              </w:rPr>
              <w:fldChar w:fldCharType="end"/>
            </w:r>
          </w:hyperlink>
        </w:p>
        <w:p w14:paraId="27A05960" w14:textId="0C500DFA" w:rsidR="002A7C61" w:rsidRDefault="00E74EDF">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105BE9">
              <w:rPr>
                <w:webHidden/>
              </w:rPr>
              <w:t>15</w:t>
            </w:r>
            <w:r w:rsidR="002A7C61">
              <w:rPr>
                <w:webHidden/>
              </w:rPr>
              <w:fldChar w:fldCharType="end"/>
            </w:r>
          </w:hyperlink>
        </w:p>
        <w:p w14:paraId="4D91838D" w14:textId="68DDAB4D" w:rsidR="002A7C61" w:rsidRDefault="00E74EDF">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105BE9">
              <w:rPr>
                <w:webHidden/>
              </w:rPr>
              <w:t>15</w:t>
            </w:r>
            <w:r w:rsidR="002A7C61">
              <w:rPr>
                <w:webHidden/>
              </w:rPr>
              <w:fldChar w:fldCharType="end"/>
            </w:r>
          </w:hyperlink>
        </w:p>
        <w:p w14:paraId="6270A398" w14:textId="2773CFAA" w:rsidR="002A7C61" w:rsidRDefault="00E74EDF">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105BE9">
              <w:rPr>
                <w:webHidden/>
              </w:rPr>
              <w:t>16</w:t>
            </w:r>
            <w:r w:rsidR="002A7C61">
              <w:rPr>
                <w:webHidden/>
              </w:rPr>
              <w:fldChar w:fldCharType="end"/>
            </w:r>
          </w:hyperlink>
        </w:p>
        <w:p w14:paraId="1640E33A" w14:textId="0E0F27B6" w:rsidR="002A7C61" w:rsidRDefault="00E74EDF">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105BE9">
              <w:rPr>
                <w:webHidden/>
              </w:rPr>
              <w:t>16</w:t>
            </w:r>
            <w:r w:rsidR="002A7C61">
              <w:rPr>
                <w:webHidden/>
              </w:rPr>
              <w:fldChar w:fldCharType="end"/>
            </w:r>
          </w:hyperlink>
        </w:p>
        <w:p w14:paraId="5259D5DA" w14:textId="3D6EC8F0" w:rsidR="002A7C61" w:rsidRDefault="00E74EDF">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105BE9">
              <w:rPr>
                <w:webHidden/>
              </w:rPr>
              <w:t>18</w:t>
            </w:r>
            <w:r w:rsidR="002A7C61">
              <w:rPr>
                <w:webHidden/>
              </w:rPr>
              <w:fldChar w:fldCharType="end"/>
            </w:r>
          </w:hyperlink>
        </w:p>
        <w:p w14:paraId="5B6DE55C" w14:textId="792ACAEF" w:rsidR="002A7C61" w:rsidRDefault="00E74EDF">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105BE9">
              <w:rPr>
                <w:webHidden/>
              </w:rPr>
              <w:t>20</w:t>
            </w:r>
            <w:r w:rsidR="002A7C61">
              <w:rPr>
                <w:webHidden/>
              </w:rPr>
              <w:fldChar w:fldCharType="end"/>
            </w:r>
          </w:hyperlink>
        </w:p>
        <w:p w14:paraId="2204DA1C" w14:textId="2B311DCA" w:rsidR="002A7C61" w:rsidRDefault="00E74EDF">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105BE9">
              <w:rPr>
                <w:webHidden/>
              </w:rPr>
              <w:t>23</w:t>
            </w:r>
            <w:r w:rsidR="002A7C61">
              <w:rPr>
                <w:webHidden/>
              </w:rPr>
              <w:fldChar w:fldCharType="end"/>
            </w:r>
          </w:hyperlink>
        </w:p>
        <w:p w14:paraId="2F3015ED" w14:textId="2EFC2843" w:rsidR="002A7C61" w:rsidRDefault="00E74EDF">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105BE9">
              <w:rPr>
                <w:webHidden/>
              </w:rPr>
              <w:t>24</w:t>
            </w:r>
            <w:r w:rsidR="002A7C61">
              <w:rPr>
                <w:webHidden/>
              </w:rPr>
              <w:fldChar w:fldCharType="end"/>
            </w:r>
          </w:hyperlink>
        </w:p>
        <w:p w14:paraId="62C5EFF3" w14:textId="3936A6A2" w:rsidR="002A7C61" w:rsidRDefault="00E74EDF">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105BE9">
              <w:rPr>
                <w:webHidden/>
              </w:rPr>
              <w:t>25</w:t>
            </w:r>
            <w:r w:rsidR="002A7C61">
              <w:rPr>
                <w:webHidden/>
              </w:rPr>
              <w:fldChar w:fldCharType="end"/>
            </w:r>
          </w:hyperlink>
        </w:p>
        <w:p w14:paraId="5E9328B9" w14:textId="1553B695" w:rsidR="002A7C61" w:rsidRDefault="00E74EDF">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105BE9">
              <w:rPr>
                <w:webHidden/>
              </w:rPr>
              <w:t>28</w:t>
            </w:r>
            <w:r w:rsidR="002A7C61">
              <w:rPr>
                <w:webHidden/>
              </w:rPr>
              <w:fldChar w:fldCharType="end"/>
            </w:r>
          </w:hyperlink>
        </w:p>
        <w:p w14:paraId="4E8E2D2E" w14:textId="042158E5" w:rsidR="002A7C61" w:rsidRDefault="00E74EDF">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105BE9">
              <w:rPr>
                <w:webHidden/>
              </w:rPr>
              <w:t>31</w:t>
            </w:r>
            <w:r w:rsidR="002A7C61">
              <w:rPr>
                <w:webHidden/>
              </w:rPr>
              <w:fldChar w:fldCharType="end"/>
            </w:r>
          </w:hyperlink>
        </w:p>
        <w:p w14:paraId="3F680DBC" w14:textId="790A6886" w:rsidR="002A7C61" w:rsidRDefault="00E74EDF">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105BE9">
              <w:rPr>
                <w:webHidden/>
              </w:rPr>
              <w:t>33</w:t>
            </w:r>
            <w:r w:rsidR="002A7C61">
              <w:rPr>
                <w:webHidden/>
              </w:rPr>
              <w:fldChar w:fldCharType="end"/>
            </w:r>
          </w:hyperlink>
        </w:p>
        <w:p w14:paraId="15E3BED7" w14:textId="2E91C243" w:rsidR="002A7C61" w:rsidRDefault="00E74EDF">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105BE9">
              <w:rPr>
                <w:webHidden/>
              </w:rPr>
              <w:t>38</w:t>
            </w:r>
            <w:r w:rsidR="002A7C61">
              <w:rPr>
                <w:webHidden/>
              </w:rPr>
              <w:fldChar w:fldCharType="end"/>
            </w:r>
          </w:hyperlink>
        </w:p>
        <w:p w14:paraId="5D1CF3E7" w14:textId="40B195DC" w:rsidR="002A7C61" w:rsidRDefault="00E74EDF">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105BE9">
              <w:rPr>
                <w:webHidden/>
              </w:rPr>
              <w:t>46</w:t>
            </w:r>
            <w:r w:rsidR="002A7C61">
              <w:rPr>
                <w:webHidden/>
              </w:rPr>
              <w:fldChar w:fldCharType="end"/>
            </w:r>
          </w:hyperlink>
        </w:p>
        <w:p w14:paraId="1F39220C" w14:textId="5A214A8D" w:rsidR="002A7C61" w:rsidRPr="00605BA2" w:rsidRDefault="00E74EDF"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105BE9">
              <w:rPr>
                <w:webHidden/>
              </w:rPr>
              <w:t>47</w:t>
            </w:r>
            <w:r w:rsidR="002A7C61">
              <w:rPr>
                <w:webHidden/>
              </w:rPr>
              <w:fldChar w:fldCharType="end"/>
            </w:r>
          </w:hyperlink>
        </w:p>
        <w:p w14:paraId="6DDBF495" w14:textId="139050E5" w:rsidR="002A7C61" w:rsidRDefault="00E74EDF">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105BE9">
              <w:rPr>
                <w:webHidden/>
              </w:rPr>
              <w:t>49</w:t>
            </w:r>
            <w:r w:rsidR="002A7C61">
              <w:rPr>
                <w:webHidden/>
              </w:rPr>
              <w:fldChar w:fldCharType="end"/>
            </w:r>
          </w:hyperlink>
        </w:p>
        <w:p w14:paraId="2A42EA3F" w14:textId="0FD25789" w:rsidR="002A7C61" w:rsidRDefault="00E74EDF">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105BE9">
              <w:rPr>
                <w:webHidden/>
              </w:rPr>
              <w:t>55</w:t>
            </w:r>
            <w:r w:rsidR="002A7C61">
              <w:rPr>
                <w:webHidden/>
              </w:rPr>
              <w:fldChar w:fldCharType="end"/>
            </w:r>
          </w:hyperlink>
        </w:p>
        <w:p w14:paraId="64213EF0" w14:textId="03718A64" w:rsidR="002A7C61" w:rsidRDefault="00E74EDF">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105BE9">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E74EDF">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3D61BAC1" w14:textId="03B196BD" w:rsidR="00230BAD" w:rsidRPr="00230BAD" w:rsidRDefault="00230BAD" w:rsidP="004C2D55">
      <w:pPr>
        <w:jc w:val="both"/>
        <w:rPr>
          <w:rFonts w:eastAsia="Arial Unicode MS" w:cs="Arial"/>
          <w:szCs w:val="22"/>
          <w:lang w:val="es-CL"/>
        </w:rPr>
      </w:pPr>
      <w:r w:rsidRPr="00230BAD">
        <w:rPr>
          <w:rFonts w:eastAsia="Arial Unicode MS" w:cs="Arial"/>
          <w:iCs/>
          <w:szCs w:val="22"/>
          <w:lang w:val="es-CL"/>
        </w:rPr>
        <w:t xml:space="preserve">La presente convocatoria está dirigida a micro y pequeñas empresas orientadas al desarrollo económico de actividades con alta heterogeneidad, desde el punto de vista de la estructura productiva y administrativa, presentando realidades muy diversas, participando en distintos sectores de la actividad económica, operando en la </w:t>
      </w:r>
      <w:r w:rsidRPr="00230BAD">
        <w:rPr>
          <w:rFonts w:eastAsia="Arial Unicode MS" w:cs="Arial"/>
          <w:b/>
          <w:bCs/>
          <w:iCs/>
          <w:szCs w:val="22"/>
          <w:lang w:val="es-CL"/>
        </w:rPr>
        <w:t>provincia de Santiago, incluyendo las comunas de San Bernardo y Puente Alto</w:t>
      </w:r>
      <w:r>
        <w:rPr>
          <w:rFonts w:eastAsia="Arial Unicode MS" w:cs="Arial"/>
          <w:b/>
          <w:bCs/>
          <w:iCs/>
          <w:szCs w:val="22"/>
          <w:lang w:val="es-CL"/>
        </w:rPr>
        <w:t>,</w:t>
      </w:r>
      <w:r w:rsidRPr="00230BAD">
        <w:rPr>
          <w:rFonts w:eastAsia="Arial Unicode MS" w:cs="Arial"/>
          <w:iCs/>
          <w:szCs w:val="22"/>
          <w:lang w:val="es-CL"/>
        </w:rPr>
        <w:t xml:space="preserve"> preferentemente en los rubros de turismo, hotelería, y gastronomía.</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68550C"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68550C" w:rsidRDefault="00041A98" w:rsidP="00735A81">
            <w:pPr>
              <w:jc w:val="center"/>
              <w:rPr>
                <w:b/>
                <w:bCs/>
                <w:sz w:val="19"/>
                <w:szCs w:val="19"/>
                <w:lang w:eastAsia="es-CL"/>
              </w:rPr>
            </w:pPr>
            <w:r w:rsidRPr="0068550C">
              <w:rPr>
                <w:b/>
                <w:bCs/>
                <w:sz w:val="19"/>
                <w:szCs w:val="19"/>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68550C" w:rsidRDefault="00041A98" w:rsidP="00735A81">
            <w:pPr>
              <w:jc w:val="center"/>
              <w:rPr>
                <w:b/>
                <w:bCs/>
                <w:sz w:val="19"/>
                <w:szCs w:val="19"/>
                <w:lang w:eastAsia="es-CL"/>
              </w:rPr>
            </w:pPr>
            <w:r w:rsidRPr="0068550C">
              <w:rPr>
                <w:b/>
                <w:bCs/>
                <w:sz w:val="19"/>
                <w:szCs w:val="19"/>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68550C" w:rsidRDefault="00041A98" w:rsidP="00735A81">
            <w:pPr>
              <w:jc w:val="center"/>
              <w:rPr>
                <w:b/>
                <w:bCs/>
                <w:sz w:val="19"/>
                <w:szCs w:val="19"/>
                <w:lang w:eastAsia="es-CL"/>
              </w:rPr>
            </w:pPr>
            <w:r w:rsidRPr="0068550C">
              <w:rPr>
                <w:b/>
                <w:bCs/>
                <w:sz w:val="19"/>
                <w:szCs w:val="19"/>
              </w:rPr>
              <w:t>DEFINICIÓN</w:t>
            </w:r>
          </w:p>
        </w:tc>
      </w:tr>
      <w:tr w:rsidR="00041A98" w:rsidRPr="0068550C"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68550C" w:rsidRDefault="00041A98" w:rsidP="00735A81">
            <w:pPr>
              <w:rPr>
                <w:rFonts w:eastAsiaTheme="minorHAnsi"/>
                <w:sz w:val="19"/>
                <w:szCs w:val="19"/>
                <w:lang w:eastAsia="es-CL"/>
              </w:rPr>
            </w:pPr>
            <w:r w:rsidRPr="0068550C">
              <w:rPr>
                <w:sz w:val="19"/>
                <w:szCs w:val="19"/>
              </w:rPr>
              <w:t>Acciones de Gestión Empresarial</w:t>
            </w:r>
          </w:p>
        </w:tc>
        <w:tc>
          <w:tcPr>
            <w:tcW w:w="1559" w:type="dxa"/>
            <w:tcMar>
              <w:top w:w="57" w:type="dxa"/>
              <w:left w:w="70" w:type="dxa"/>
              <w:bottom w:w="57" w:type="dxa"/>
              <w:right w:w="70" w:type="dxa"/>
            </w:tcMar>
            <w:hideMark/>
          </w:tcPr>
          <w:p w14:paraId="21CC2018" w14:textId="77777777" w:rsidR="00041A98" w:rsidRPr="0068550C" w:rsidRDefault="00041A98" w:rsidP="00735A81">
            <w:pPr>
              <w:rPr>
                <w:sz w:val="19"/>
                <w:szCs w:val="19"/>
                <w:lang w:eastAsia="es-CL"/>
              </w:rPr>
            </w:pPr>
            <w:r w:rsidRPr="0068550C">
              <w:rPr>
                <w:sz w:val="19"/>
                <w:szCs w:val="19"/>
              </w:rPr>
              <w:t>Asistencia técnica y asesoría en gestión</w:t>
            </w:r>
          </w:p>
        </w:tc>
        <w:tc>
          <w:tcPr>
            <w:tcW w:w="5954" w:type="dxa"/>
            <w:noWrap/>
            <w:tcMar>
              <w:top w:w="57" w:type="dxa"/>
              <w:left w:w="70" w:type="dxa"/>
              <w:bottom w:w="57" w:type="dxa"/>
              <w:right w:w="70" w:type="dxa"/>
            </w:tcMar>
            <w:hideMark/>
          </w:tcPr>
          <w:p w14:paraId="2EF80320" w14:textId="195C30F9" w:rsidR="00041A98" w:rsidRPr="0068550C" w:rsidRDefault="00041A98" w:rsidP="009A4A2D">
            <w:pPr>
              <w:jc w:val="both"/>
              <w:rPr>
                <w:sz w:val="19"/>
                <w:szCs w:val="19"/>
                <w:lang w:eastAsia="es-CL"/>
              </w:rPr>
            </w:pPr>
            <w:r w:rsidRPr="0068550C">
              <w:rPr>
                <w:rFonts w:cs="Arial"/>
                <w:bCs/>
                <w:sz w:val="19"/>
                <w:szCs w:val="19"/>
                <w:lang w:val="es-CL"/>
              </w:rPr>
              <w:t>Comprende el gasto para contratación de servicios de consultoría orientadas a entregar conocimientos, información y/o herramientas técnicas que tengan un impacto directo en la gestión de los</w:t>
            </w:r>
            <w:r w:rsidR="00CF148E" w:rsidRPr="0068550C">
              <w:rPr>
                <w:rFonts w:cs="Arial"/>
                <w:bCs/>
                <w:sz w:val="19"/>
                <w:szCs w:val="19"/>
                <w:lang w:val="es-CL"/>
              </w:rPr>
              <w:t>/as</w:t>
            </w:r>
            <w:r w:rsidRPr="0068550C">
              <w:rPr>
                <w:rFonts w:cs="Arial"/>
                <w:bCs/>
                <w:sz w:val="19"/>
                <w:szCs w:val="19"/>
                <w:lang w:val="es-CL"/>
              </w:rPr>
              <w:t xml:space="preserve"> beneficiarios/as</w:t>
            </w:r>
            <w:r w:rsidR="00127449" w:rsidRPr="0068550C">
              <w:rPr>
                <w:rFonts w:cs="Arial"/>
                <w:bCs/>
                <w:sz w:val="19"/>
                <w:szCs w:val="19"/>
                <w:lang w:val="es-CL"/>
              </w:rPr>
              <w:t>.</w:t>
            </w:r>
          </w:p>
        </w:tc>
      </w:tr>
      <w:tr w:rsidR="00041A98" w:rsidRPr="0068550C" w14:paraId="108A6538" w14:textId="77777777" w:rsidTr="0077246D">
        <w:trPr>
          <w:trHeight w:val="315"/>
        </w:trPr>
        <w:tc>
          <w:tcPr>
            <w:tcW w:w="1418" w:type="dxa"/>
            <w:vMerge/>
            <w:tcMar>
              <w:top w:w="57" w:type="dxa"/>
              <w:bottom w:w="57" w:type="dxa"/>
            </w:tcMar>
            <w:hideMark/>
          </w:tcPr>
          <w:p w14:paraId="67F9C6B2" w14:textId="77777777" w:rsidR="00041A98" w:rsidRPr="0068550C" w:rsidRDefault="00041A98" w:rsidP="00735A81">
            <w:pPr>
              <w:rPr>
                <w:rFonts w:eastAsiaTheme="minorHAnsi"/>
                <w:sz w:val="19"/>
                <w:szCs w:val="19"/>
                <w:lang w:eastAsia="es-CL"/>
              </w:rPr>
            </w:pPr>
          </w:p>
        </w:tc>
        <w:tc>
          <w:tcPr>
            <w:tcW w:w="1559" w:type="dxa"/>
            <w:tcMar>
              <w:top w:w="57" w:type="dxa"/>
              <w:left w:w="70" w:type="dxa"/>
              <w:bottom w:w="57" w:type="dxa"/>
              <w:right w:w="70" w:type="dxa"/>
            </w:tcMar>
            <w:hideMark/>
          </w:tcPr>
          <w:p w14:paraId="7448904C" w14:textId="77777777" w:rsidR="00041A98" w:rsidRPr="0068550C" w:rsidRDefault="00041A98" w:rsidP="00735A81">
            <w:pPr>
              <w:rPr>
                <w:rFonts w:eastAsiaTheme="minorHAnsi"/>
                <w:sz w:val="19"/>
                <w:szCs w:val="19"/>
                <w:lang w:eastAsia="es-CL"/>
              </w:rPr>
            </w:pPr>
            <w:r w:rsidRPr="0068550C">
              <w:rPr>
                <w:sz w:val="19"/>
                <w:szCs w:val="19"/>
              </w:rPr>
              <w:t>Capacitación</w:t>
            </w:r>
          </w:p>
        </w:tc>
        <w:tc>
          <w:tcPr>
            <w:tcW w:w="5954" w:type="dxa"/>
            <w:noWrap/>
            <w:tcMar>
              <w:top w:w="57" w:type="dxa"/>
              <w:left w:w="70" w:type="dxa"/>
              <w:bottom w:w="57" w:type="dxa"/>
              <w:right w:w="70" w:type="dxa"/>
            </w:tcMar>
            <w:hideMark/>
          </w:tcPr>
          <w:p w14:paraId="1ED4BA8F" w14:textId="0D36782B" w:rsidR="00041A98" w:rsidRPr="0068550C" w:rsidRDefault="00041A98" w:rsidP="002016C4">
            <w:pPr>
              <w:jc w:val="both"/>
              <w:rPr>
                <w:sz w:val="19"/>
                <w:szCs w:val="19"/>
                <w:lang w:eastAsia="es-CL"/>
              </w:rPr>
            </w:pPr>
            <w:r w:rsidRPr="0068550C">
              <w:rPr>
                <w:rFonts w:cs="Arial"/>
                <w:sz w:val="19"/>
                <w:szCs w:val="19"/>
                <w:lang w:val="es-CL"/>
              </w:rPr>
              <w:t>Comprende el gasto para el desarrollo de actividades transferencia de conocimientos requeridos para el desarrollo del nuevo negocio.</w:t>
            </w:r>
            <w:r w:rsidRPr="0068550C">
              <w:rPr>
                <w:rFonts w:ascii="Calibri" w:hAnsi="Calibri" w:cs="Calibri"/>
                <w:sz w:val="19"/>
                <w:szCs w:val="19"/>
                <w:lang w:eastAsia="es-CL"/>
              </w:rPr>
              <w:t>                              </w:t>
            </w:r>
            <w:r w:rsidRPr="0068550C">
              <w:rPr>
                <w:sz w:val="19"/>
                <w:szCs w:val="19"/>
                <w:lang w:eastAsia="es-CL"/>
              </w:rPr>
              <w:t xml:space="preserve"> </w:t>
            </w:r>
          </w:p>
        </w:tc>
      </w:tr>
      <w:tr w:rsidR="00041A98" w:rsidRPr="0068550C" w14:paraId="3F8B8BD9" w14:textId="77777777" w:rsidTr="0077246D">
        <w:trPr>
          <w:trHeight w:val="2918"/>
        </w:trPr>
        <w:tc>
          <w:tcPr>
            <w:tcW w:w="1418" w:type="dxa"/>
            <w:vMerge/>
            <w:tcMar>
              <w:top w:w="57" w:type="dxa"/>
              <w:bottom w:w="57" w:type="dxa"/>
            </w:tcMar>
            <w:hideMark/>
          </w:tcPr>
          <w:p w14:paraId="588FD0F7" w14:textId="77777777" w:rsidR="00041A98" w:rsidRPr="0068550C" w:rsidRDefault="00041A98" w:rsidP="00735A81">
            <w:pPr>
              <w:rPr>
                <w:rFonts w:eastAsiaTheme="minorHAnsi"/>
                <w:sz w:val="19"/>
                <w:szCs w:val="19"/>
                <w:lang w:eastAsia="es-CL"/>
              </w:rPr>
            </w:pPr>
          </w:p>
        </w:tc>
        <w:tc>
          <w:tcPr>
            <w:tcW w:w="1559" w:type="dxa"/>
            <w:tcMar>
              <w:top w:w="57" w:type="dxa"/>
              <w:left w:w="70" w:type="dxa"/>
              <w:bottom w:w="57" w:type="dxa"/>
              <w:right w:w="70" w:type="dxa"/>
            </w:tcMar>
            <w:hideMark/>
          </w:tcPr>
          <w:p w14:paraId="205069D3" w14:textId="77777777" w:rsidR="00041A98" w:rsidRPr="0068550C" w:rsidRDefault="00041A98" w:rsidP="00735A81">
            <w:pPr>
              <w:rPr>
                <w:rFonts w:eastAsiaTheme="minorHAnsi"/>
                <w:sz w:val="19"/>
                <w:szCs w:val="19"/>
                <w:lang w:eastAsia="es-CL"/>
              </w:rPr>
            </w:pPr>
            <w:r w:rsidRPr="0068550C">
              <w:rPr>
                <w:sz w:val="19"/>
                <w:szCs w:val="19"/>
              </w:rPr>
              <w:t>Acciones de marketing</w:t>
            </w:r>
          </w:p>
        </w:tc>
        <w:tc>
          <w:tcPr>
            <w:tcW w:w="5954" w:type="dxa"/>
            <w:noWrap/>
            <w:tcMar>
              <w:top w:w="57" w:type="dxa"/>
              <w:left w:w="70" w:type="dxa"/>
              <w:bottom w:w="57" w:type="dxa"/>
              <w:right w:w="70" w:type="dxa"/>
            </w:tcMar>
            <w:hideMark/>
          </w:tcPr>
          <w:p w14:paraId="47F8922D" w14:textId="1505F371" w:rsidR="00041A98" w:rsidRPr="0068550C" w:rsidRDefault="00041A98" w:rsidP="009A4A2D">
            <w:pPr>
              <w:jc w:val="both"/>
              <w:rPr>
                <w:rFonts w:cs="Arial"/>
                <w:sz w:val="19"/>
                <w:szCs w:val="19"/>
                <w:lang w:val="es-CL"/>
              </w:rPr>
            </w:pPr>
            <w:r w:rsidRPr="0068550C">
              <w:rPr>
                <w:rFonts w:cs="Arial"/>
                <w:b/>
                <w:sz w:val="19"/>
                <w:szCs w:val="19"/>
                <w:lang w:val="es-CL"/>
              </w:rPr>
              <w:t>Ferias, exposiciones, eventos:</w:t>
            </w:r>
            <w:r w:rsidRPr="0068550C">
              <w:rPr>
                <w:rFonts w:cs="Arial"/>
                <w:sz w:val="19"/>
                <w:szCs w:val="19"/>
                <w:lang w:val="es-CL"/>
              </w:rPr>
              <w:t xml:space="preserve"> comprende el gasto po</w:t>
            </w:r>
            <w:r w:rsidR="00127449" w:rsidRPr="0068550C">
              <w:rPr>
                <w:rFonts w:cs="Arial"/>
                <w:sz w:val="19"/>
                <w:szCs w:val="19"/>
                <w:lang w:val="es-CL"/>
              </w:rPr>
              <w:t xml:space="preserve">r concepto de participación, </w:t>
            </w:r>
            <w:r w:rsidRPr="0068550C">
              <w:rPr>
                <w:rFonts w:cs="Arial"/>
                <w:sz w:val="19"/>
                <w:szCs w:val="19"/>
                <w:lang w:val="es-CL"/>
              </w:rPr>
              <w:t>organización y desarrollo de ferias, exposiciones o eventos con el propósito de presentar y/o comercializar productos o servicios.</w:t>
            </w:r>
          </w:p>
          <w:p w14:paraId="260CAFFA" w14:textId="3226A538" w:rsidR="00041A98" w:rsidRPr="0068550C" w:rsidRDefault="00041A98" w:rsidP="009A4A2D">
            <w:pPr>
              <w:jc w:val="both"/>
              <w:rPr>
                <w:sz w:val="19"/>
                <w:szCs w:val="19"/>
                <w:lang w:eastAsia="es-CL"/>
              </w:rPr>
            </w:pPr>
            <w:r w:rsidRPr="0068550C">
              <w:rPr>
                <w:rFonts w:cs="Arial"/>
                <w:b/>
                <w:sz w:val="19"/>
                <w:szCs w:val="19"/>
                <w:lang w:val="es-CL"/>
              </w:rPr>
              <w:t>Promoción, publicidad y difusión:</w:t>
            </w:r>
            <w:r w:rsidRPr="0068550C">
              <w:rPr>
                <w:rFonts w:cs="Arial"/>
                <w:sz w:val="19"/>
                <w:szCs w:val="19"/>
                <w:lang w:val="es-CL"/>
              </w:rPr>
              <w:t xml:space="preserve"> comprende el gasto en contratación de servicios publicitarios,</w:t>
            </w:r>
            <w:r w:rsidR="00127449" w:rsidRPr="0068550C">
              <w:rPr>
                <w:rFonts w:cs="Arial"/>
                <w:sz w:val="19"/>
                <w:szCs w:val="19"/>
                <w:lang w:val="es-CL"/>
              </w:rPr>
              <w:t xml:space="preserve"> de promoción y difusión de </w:t>
            </w:r>
            <w:r w:rsidRPr="0068550C">
              <w:rPr>
                <w:rFonts w:cs="Arial"/>
                <w:sz w:val="19"/>
                <w:szCs w:val="19"/>
                <w:lang w:val="es-CL"/>
              </w:rPr>
              <w:t>proyectos de fomento productivo, i</w:t>
            </w:r>
            <w:r w:rsidR="00127449" w:rsidRPr="0068550C">
              <w:rPr>
                <w:rFonts w:cs="Arial"/>
                <w:sz w:val="19"/>
                <w:szCs w:val="19"/>
                <w:lang w:val="es-CL"/>
              </w:rPr>
              <w:t xml:space="preserve">ncluidos </w:t>
            </w:r>
            <w:r w:rsidRPr="0068550C">
              <w:rPr>
                <w:rFonts w:cs="Arial"/>
                <w:sz w:val="19"/>
                <w:szCs w:val="19"/>
                <w:lang w:val="es-CL"/>
              </w:rPr>
              <w:t xml:space="preserve">servicios asociados a Marketing Digital. </w:t>
            </w:r>
            <w:r w:rsidRPr="0068550C">
              <w:rPr>
                <w:rFonts w:ascii="Calibri" w:hAnsi="Calibri" w:cs="Calibri"/>
                <w:sz w:val="19"/>
                <w:szCs w:val="19"/>
                <w:lang w:eastAsia="es-CL"/>
              </w:rPr>
              <w:t>                 </w:t>
            </w:r>
          </w:p>
          <w:p w14:paraId="4FC7C550" w14:textId="632D30A5" w:rsidR="00041A98" w:rsidRPr="0068550C" w:rsidRDefault="00041A98" w:rsidP="00127449">
            <w:pPr>
              <w:jc w:val="both"/>
              <w:rPr>
                <w:sz w:val="19"/>
                <w:szCs w:val="19"/>
                <w:lang w:eastAsia="es-CL"/>
              </w:rPr>
            </w:pPr>
            <w:r w:rsidRPr="0068550C">
              <w:rPr>
                <w:rFonts w:cs="Arial"/>
                <w:b/>
                <w:sz w:val="19"/>
                <w:szCs w:val="19"/>
                <w:lang w:val="es-CL"/>
              </w:rPr>
              <w:t>Misiones comerciales y/o tecnológicas, visitas y pasantías:</w:t>
            </w:r>
            <w:r w:rsidRPr="0068550C">
              <w:rPr>
                <w:rFonts w:cs="Arial"/>
                <w:sz w:val="19"/>
                <w:szCs w:val="19"/>
                <w:lang w:val="es-CL"/>
              </w:rPr>
              <w:t xml:space="preserve"> Comprende el gasto por concepto de organización y desarrollo de viajes y visitas para trasferencias comerciales o tecnológicas de </w:t>
            </w:r>
            <w:r w:rsidR="00127449" w:rsidRPr="0068550C">
              <w:rPr>
                <w:rFonts w:cs="Arial"/>
                <w:sz w:val="19"/>
                <w:szCs w:val="19"/>
                <w:lang w:val="es-CL"/>
              </w:rPr>
              <w:t xml:space="preserve">los/as </w:t>
            </w:r>
            <w:r w:rsidRPr="0068550C">
              <w:rPr>
                <w:rFonts w:cs="Arial"/>
                <w:sz w:val="19"/>
                <w:szCs w:val="19"/>
                <w:lang w:val="es-CL"/>
              </w:rPr>
              <w:t>beneficiarios/as de un proyecto.</w:t>
            </w:r>
            <w:r w:rsidRPr="0068550C">
              <w:rPr>
                <w:rFonts w:ascii="Calibri" w:hAnsi="Calibri" w:cs="Calibri"/>
                <w:sz w:val="19"/>
                <w:szCs w:val="19"/>
                <w:lang w:eastAsia="es-CL"/>
              </w:rPr>
              <w:t>    </w:t>
            </w:r>
            <w:r w:rsidRPr="0068550C">
              <w:rPr>
                <w:sz w:val="19"/>
                <w:szCs w:val="19"/>
                <w:lang w:eastAsia="es-CL"/>
              </w:rPr>
              <w:t xml:space="preserve"> </w:t>
            </w:r>
          </w:p>
        </w:tc>
      </w:tr>
      <w:tr w:rsidR="003B4F0D" w:rsidRPr="0068550C"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68550C" w:rsidRDefault="003B4F0D" w:rsidP="00735A81">
            <w:pPr>
              <w:rPr>
                <w:rFonts w:eastAsiaTheme="minorHAnsi"/>
                <w:sz w:val="19"/>
                <w:szCs w:val="19"/>
                <w:lang w:eastAsia="es-CL"/>
              </w:rPr>
            </w:pPr>
            <w:r w:rsidRPr="0068550C">
              <w:rPr>
                <w:sz w:val="19"/>
                <w:szCs w:val="19"/>
              </w:rPr>
              <w:t>Inversiones</w:t>
            </w:r>
          </w:p>
        </w:tc>
        <w:tc>
          <w:tcPr>
            <w:tcW w:w="1559" w:type="dxa"/>
            <w:tcMar>
              <w:top w:w="57" w:type="dxa"/>
              <w:left w:w="70" w:type="dxa"/>
              <w:bottom w:w="57" w:type="dxa"/>
              <w:right w:w="70" w:type="dxa"/>
            </w:tcMar>
            <w:hideMark/>
          </w:tcPr>
          <w:p w14:paraId="5449723A" w14:textId="77777777" w:rsidR="003B4F0D" w:rsidRPr="0068550C" w:rsidRDefault="003B4F0D" w:rsidP="00735A81">
            <w:pPr>
              <w:rPr>
                <w:sz w:val="19"/>
                <w:szCs w:val="19"/>
                <w:lang w:eastAsia="es-CL"/>
              </w:rPr>
            </w:pPr>
            <w:r w:rsidRPr="0068550C">
              <w:rPr>
                <w:sz w:val="19"/>
                <w:szCs w:val="19"/>
              </w:rPr>
              <w:t>Activos</w:t>
            </w:r>
          </w:p>
        </w:tc>
        <w:tc>
          <w:tcPr>
            <w:tcW w:w="5954" w:type="dxa"/>
            <w:tcMar>
              <w:top w:w="57" w:type="dxa"/>
              <w:left w:w="70" w:type="dxa"/>
              <w:bottom w:w="57" w:type="dxa"/>
              <w:right w:w="70" w:type="dxa"/>
            </w:tcMar>
            <w:hideMark/>
          </w:tcPr>
          <w:p w14:paraId="20AFFB5B" w14:textId="06375D80" w:rsidR="003B4F0D" w:rsidRPr="0068550C" w:rsidRDefault="003B4F0D" w:rsidP="009A4A2D">
            <w:pPr>
              <w:jc w:val="both"/>
              <w:rPr>
                <w:rFonts w:cs="Arial"/>
                <w:bCs/>
                <w:snapToGrid w:val="0"/>
                <w:sz w:val="19"/>
                <w:szCs w:val="19"/>
                <w:lang w:val="es-CL"/>
              </w:rPr>
            </w:pPr>
            <w:r w:rsidRPr="0068550C">
              <w:rPr>
                <w:rFonts w:cs="Arial"/>
                <w:b/>
                <w:bCs/>
                <w:snapToGrid w:val="0"/>
                <w:sz w:val="19"/>
                <w:szCs w:val="19"/>
                <w:lang w:val="es-CL"/>
              </w:rPr>
              <w:t>Activos fijos:</w:t>
            </w:r>
            <w:r w:rsidRPr="0068550C">
              <w:rPr>
                <w:rFonts w:cs="Arial"/>
                <w:bCs/>
                <w:snapToGrid w:val="0"/>
                <w:sz w:val="19"/>
                <w:szCs w:val="19"/>
                <w:lang w:val="es-CL"/>
              </w:rPr>
              <w:t xml:space="preserve"> corresponde a la adquisición de bienes (activos físicos) necesarios para el proyecto que se utilizan </w:t>
            </w:r>
            <w:r w:rsidR="00A069DE" w:rsidRPr="0068550C">
              <w:rPr>
                <w:rFonts w:cs="Arial"/>
                <w:bCs/>
                <w:snapToGrid w:val="0"/>
                <w:sz w:val="19"/>
                <w:szCs w:val="19"/>
                <w:lang w:val="es-CL"/>
              </w:rPr>
              <w:t>directa o indirectamente</w:t>
            </w:r>
            <w:r w:rsidRPr="0068550C">
              <w:rPr>
                <w:rFonts w:cs="Arial"/>
                <w:bCs/>
                <w:snapToGrid w:val="0"/>
                <w:sz w:val="19"/>
                <w:szCs w:val="19"/>
                <w:lang w:val="es-CL"/>
              </w:rPr>
              <w:t xml:space="preserve"> en el proceso de producción del bien o servicio ofrecido. </w:t>
            </w:r>
          </w:p>
          <w:p w14:paraId="1A4A9532" w14:textId="3EDE692E" w:rsidR="003B4F0D" w:rsidRPr="0068550C" w:rsidRDefault="003B4F0D" w:rsidP="00C4321F">
            <w:pPr>
              <w:widowControl w:val="0"/>
              <w:jc w:val="both"/>
              <w:rPr>
                <w:sz w:val="19"/>
                <w:szCs w:val="19"/>
                <w:lang w:eastAsia="es-CL"/>
              </w:rPr>
            </w:pPr>
            <w:r w:rsidRPr="0068550C">
              <w:rPr>
                <w:b/>
                <w:sz w:val="19"/>
                <w:szCs w:val="19"/>
                <w:lang w:val="es-CL"/>
              </w:rPr>
              <w:t>Activos intangibles:</w:t>
            </w:r>
            <w:r w:rsidRPr="0068550C">
              <w:rPr>
                <w:rFonts w:cs="Arial"/>
                <w:bCs/>
                <w:snapToGrid w:val="0"/>
                <w:sz w:val="19"/>
                <w:szCs w:val="19"/>
                <w:lang w:val="es-CL"/>
              </w:rPr>
              <w:t xml:space="preserve"> corresponde a la adquisición de bienes intangibles, tales como software, registro de marca, entre otros, estrictamente necesarios para el funcionamiento del proyecto.</w:t>
            </w:r>
            <w:r w:rsidRPr="0068550C">
              <w:rPr>
                <w:rFonts w:ascii="Calibri" w:hAnsi="Calibri" w:cs="Calibri"/>
                <w:sz w:val="19"/>
                <w:szCs w:val="19"/>
                <w:lang w:eastAsia="es-CL"/>
              </w:rPr>
              <w:t>                             </w:t>
            </w:r>
            <w:r w:rsidRPr="0068550C">
              <w:rPr>
                <w:sz w:val="19"/>
                <w:szCs w:val="19"/>
                <w:lang w:eastAsia="es-CL"/>
              </w:rPr>
              <w:t xml:space="preserve"> </w:t>
            </w:r>
          </w:p>
        </w:tc>
      </w:tr>
      <w:tr w:rsidR="003B4F0D" w:rsidRPr="0068550C" w14:paraId="7E8E9592" w14:textId="77777777" w:rsidTr="0077246D">
        <w:trPr>
          <w:trHeight w:val="615"/>
        </w:trPr>
        <w:tc>
          <w:tcPr>
            <w:tcW w:w="1418" w:type="dxa"/>
            <w:vMerge/>
            <w:tcMar>
              <w:top w:w="57" w:type="dxa"/>
              <w:bottom w:w="57" w:type="dxa"/>
            </w:tcMar>
            <w:hideMark/>
          </w:tcPr>
          <w:p w14:paraId="3F2D59A8" w14:textId="77777777" w:rsidR="003B4F0D" w:rsidRPr="0068550C" w:rsidRDefault="003B4F0D" w:rsidP="00735A81">
            <w:pPr>
              <w:rPr>
                <w:rFonts w:eastAsiaTheme="minorHAnsi"/>
                <w:sz w:val="19"/>
                <w:szCs w:val="19"/>
                <w:lang w:eastAsia="es-CL"/>
              </w:rPr>
            </w:pPr>
          </w:p>
        </w:tc>
        <w:tc>
          <w:tcPr>
            <w:tcW w:w="1559" w:type="dxa"/>
            <w:tcMar>
              <w:top w:w="57" w:type="dxa"/>
              <w:left w:w="70" w:type="dxa"/>
              <w:bottom w:w="57" w:type="dxa"/>
              <w:right w:w="70" w:type="dxa"/>
            </w:tcMar>
            <w:hideMark/>
          </w:tcPr>
          <w:p w14:paraId="49D546AA" w14:textId="77777777" w:rsidR="003B4F0D" w:rsidRPr="0068550C" w:rsidRDefault="003B4F0D" w:rsidP="00735A81">
            <w:pPr>
              <w:rPr>
                <w:rFonts w:eastAsiaTheme="minorHAnsi"/>
                <w:sz w:val="19"/>
                <w:szCs w:val="19"/>
                <w:lang w:eastAsia="es-CL"/>
              </w:rPr>
            </w:pPr>
            <w:r w:rsidRPr="0068550C">
              <w:rPr>
                <w:sz w:val="19"/>
                <w:szCs w:val="19"/>
              </w:rPr>
              <w:t>Habilitación de infraestructura</w:t>
            </w:r>
          </w:p>
        </w:tc>
        <w:tc>
          <w:tcPr>
            <w:tcW w:w="5954" w:type="dxa"/>
            <w:tcMar>
              <w:top w:w="57" w:type="dxa"/>
              <w:left w:w="70" w:type="dxa"/>
              <w:bottom w:w="57" w:type="dxa"/>
              <w:right w:w="70" w:type="dxa"/>
            </w:tcMar>
            <w:hideMark/>
          </w:tcPr>
          <w:p w14:paraId="1604D049" w14:textId="77777777" w:rsidR="003B4F0D" w:rsidRPr="0068550C" w:rsidRDefault="003B4F0D" w:rsidP="009A4A2D">
            <w:pPr>
              <w:jc w:val="both"/>
              <w:rPr>
                <w:sz w:val="19"/>
                <w:szCs w:val="19"/>
                <w:lang w:eastAsia="es-CL"/>
              </w:rPr>
            </w:pPr>
            <w:r w:rsidRPr="0068550C">
              <w:rPr>
                <w:rFonts w:cs="Arial"/>
                <w:b/>
                <w:bCs/>
                <w:snapToGrid w:val="0"/>
                <w:sz w:val="19"/>
                <w:szCs w:val="19"/>
                <w:lang w:val="es-CL"/>
              </w:rPr>
              <w:t>Habilitación de Infraestructura</w:t>
            </w:r>
            <w:r w:rsidRPr="0068550C">
              <w:rPr>
                <w:rFonts w:cs="Arial"/>
                <w:bCs/>
                <w:snapToGrid w:val="0"/>
                <w:sz w:val="19"/>
                <w:szCs w:val="19"/>
                <w:lang w:val="es-CL"/>
              </w:rPr>
              <w:t xml:space="preserve">: Comprende el gasto necesario </w:t>
            </w:r>
            <w:r w:rsidRPr="0068550C">
              <w:rPr>
                <w:rFonts w:cs="Arial"/>
                <w:bCs/>
                <w:snapToGrid w:val="0"/>
                <w:sz w:val="19"/>
                <w:szCs w:val="19"/>
                <w:u w:val="single"/>
                <w:lang w:val="es-CL"/>
              </w:rPr>
              <w:t>para dejar apto un espacio físico o estructura previamente existente al proyecto</w:t>
            </w:r>
            <w:r w:rsidRPr="0068550C">
              <w:rPr>
                <w:rFonts w:cs="Arial"/>
                <w:bCs/>
                <w:snapToGrid w:val="0"/>
                <w:sz w:val="19"/>
                <w:szCs w:val="19"/>
                <w:lang w:val="es-CL"/>
              </w:rPr>
              <w:t xml:space="preserve"> para el funcionamiento del mismo.</w:t>
            </w:r>
            <w:r w:rsidRPr="0068550C">
              <w:rPr>
                <w:sz w:val="19"/>
                <w:szCs w:val="19"/>
                <w:lang w:eastAsia="es-CL"/>
              </w:rPr>
              <w:t xml:space="preserve"> </w:t>
            </w:r>
          </w:p>
        </w:tc>
      </w:tr>
      <w:tr w:rsidR="003B4F0D" w:rsidRPr="0068550C" w14:paraId="7FDA01DD" w14:textId="77777777" w:rsidTr="0077246D">
        <w:trPr>
          <w:trHeight w:val="155"/>
        </w:trPr>
        <w:tc>
          <w:tcPr>
            <w:tcW w:w="1418" w:type="dxa"/>
            <w:vMerge/>
            <w:tcMar>
              <w:top w:w="57" w:type="dxa"/>
              <w:bottom w:w="57" w:type="dxa"/>
            </w:tcMar>
            <w:hideMark/>
          </w:tcPr>
          <w:p w14:paraId="3F0CF355" w14:textId="77777777" w:rsidR="003B4F0D" w:rsidRPr="0068550C" w:rsidRDefault="003B4F0D" w:rsidP="00735A81">
            <w:pPr>
              <w:rPr>
                <w:rFonts w:eastAsiaTheme="minorHAnsi"/>
                <w:sz w:val="19"/>
                <w:szCs w:val="19"/>
                <w:lang w:eastAsia="es-CL"/>
              </w:rPr>
            </w:pPr>
          </w:p>
        </w:tc>
        <w:tc>
          <w:tcPr>
            <w:tcW w:w="1559" w:type="dxa"/>
            <w:tcMar>
              <w:top w:w="57" w:type="dxa"/>
              <w:left w:w="70" w:type="dxa"/>
              <w:bottom w:w="57" w:type="dxa"/>
              <w:right w:w="70" w:type="dxa"/>
            </w:tcMar>
            <w:hideMark/>
          </w:tcPr>
          <w:p w14:paraId="6EDFCFEE" w14:textId="77777777" w:rsidR="003B4F0D" w:rsidRPr="0068550C" w:rsidRDefault="003B4F0D" w:rsidP="00735A81">
            <w:pPr>
              <w:rPr>
                <w:rFonts w:eastAsiaTheme="minorHAnsi"/>
                <w:sz w:val="19"/>
                <w:szCs w:val="19"/>
                <w:lang w:eastAsia="es-CL"/>
              </w:rPr>
            </w:pPr>
            <w:r w:rsidRPr="0068550C">
              <w:rPr>
                <w:sz w:val="19"/>
                <w:szCs w:val="19"/>
              </w:rPr>
              <w:t>Capital de trabajo</w:t>
            </w:r>
          </w:p>
        </w:tc>
        <w:tc>
          <w:tcPr>
            <w:tcW w:w="5954" w:type="dxa"/>
            <w:tcMar>
              <w:top w:w="57" w:type="dxa"/>
              <w:left w:w="70" w:type="dxa"/>
              <w:bottom w:w="57" w:type="dxa"/>
              <w:right w:w="70" w:type="dxa"/>
            </w:tcMar>
            <w:hideMark/>
          </w:tcPr>
          <w:p w14:paraId="1B38C550" w14:textId="77777777" w:rsidR="003B4F0D" w:rsidRPr="0068550C" w:rsidRDefault="003B4F0D" w:rsidP="009A4A2D">
            <w:pPr>
              <w:widowControl w:val="0"/>
              <w:jc w:val="both"/>
              <w:rPr>
                <w:rFonts w:cs="Arial"/>
                <w:bCs/>
                <w:snapToGrid w:val="0"/>
                <w:sz w:val="19"/>
                <w:szCs w:val="19"/>
                <w:lang w:val="es-CL"/>
              </w:rPr>
            </w:pPr>
            <w:r w:rsidRPr="0068550C">
              <w:rPr>
                <w:rFonts w:cs="Arial"/>
                <w:b/>
                <w:bCs/>
                <w:snapToGrid w:val="0"/>
                <w:sz w:val="19"/>
                <w:szCs w:val="19"/>
                <w:lang w:val="es-CL"/>
              </w:rPr>
              <w:t>Nuevas contrataciones:</w:t>
            </w:r>
            <w:r w:rsidRPr="0068550C">
              <w:rPr>
                <w:rFonts w:cs="Arial"/>
                <w:bCs/>
                <w:snapToGrid w:val="0"/>
                <w:sz w:val="19"/>
                <w:szCs w:val="19"/>
                <w:lang w:val="es-CL"/>
              </w:rPr>
              <w:t xml:space="preserve"> gasto en remuneraciones u honorarios de nuevos trabajadores asociados al proyecto, contratados con posterioridad al inicio formal del proyecto. </w:t>
            </w:r>
          </w:p>
          <w:p w14:paraId="6BF65E9C" w14:textId="2377F3B0" w:rsidR="003B4F0D" w:rsidRPr="0068550C" w:rsidRDefault="003B4F0D" w:rsidP="009A4A2D">
            <w:pPr>
              <w:widowControl w:val="0"/>
              <w:jc w:val="both"/>
              <w:rPr>
                <w:rFonts w:cs="Arial"/>
                <w:bCs/>
                <w:snapToGrid w:val="0"/>
                <w:sz w:val="19"/>
                <w:szCs w:val="19"/>
                <w:lang w:val="es-CL"/>
              </w:rPr>
            </w:pPr>
            <w:r w:rsidRPr="0068550C">
              <w:rPr>
                <w:rFonts w:cs="Arial"/>
                <w:b/>
                <w:bCs/>
                <w:snapToGrid w:val="0"/>
                <w:sz w:val="19"/>
                <w:szCs w:val="19"/>
                <w:lang w:val="es-CL"/>
              </w:rPr>
              <w:t>Nuevos arriendos</w:t>
            </w:r>
            <w:r w:rsidRPr="0068550C">
              <w:rPr>
                <w:rFonts w:cs="Arial"/>
                <w:bCs/>
                <w:snapToGrid w:val="0"/>
                <w:sz w:val="19"/>
                <w:szCs w:val="19"/>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5986AA0" w14:textId="77777777" w:rsidR="003B4F0D" w:rsidRPr="0068550C" w:rsidRDefault="003B4F0D" w:rsidP="009A4A2D">
            <w:pPr>
              <w:widowControl w:val="0"/>
              <w:jc w:val="both"/>
              <w:rPr>
                <w:rFonts w:eastAsia="Arial Unicode MS" w:cs="Arial"/>
                <w:bCs/>
                <w:snapToGrid w:val="0"/>
                <w:sz w:val="19"/>
                <w:szCs w:val="19"/>
              </w:rPr>
            </w:pPr>
            <w:r w:rsidRPr="0068550C">
              <w:rPr>
                <w:rFonts w:eastAsia="Arial Unicode MS" w:cs="Arial"/>
                <w:b/>
                <w:bCs/>
                <w:snapToGrid w:val="0"/>
                <w:sz w:val="19"/>
                <w:szCs w:val="19"/>
                <w:lang w:val="es-CL"/>
              </w:rPr>
              <w:t>Materias primas y materiales:</w:t>
            </w:r>
            <w:r w:rsidRPr="0068550C">
              <w:rPr>
                <w:rFonts w:eastAsia="Arial Unicode MS" w:cs="Arial"/>
                <w:bCs/>
                <w:snapToGrid w:val="0"/>
                <w:sz w:val="19"/>
                <w:szCs w:val="19"/>
                <w:lang w:val="es-CL"/>
              </w:rPr>
              <w:t xml:space="preserve"> </w:t>
            </w:r>
            <w:r w:rsidRPr="0068550C">
              <w:rPr>
                <w:rFonts w:eastAsia="Arial Unicode MS" w:cs="Arial"/>
                <w:bCs/>
                <w:snapToGrid w:val="0"/>
                <w:sz w:val="19"/>
                <w:szCs w:val="19"/>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68550C" w:rsidRDefault="00F41895" w:rsidP="009A4A2D">
            <w:pPr>
              <w:widowControl w:val="0"/>
              <w:jc w:val="both"/>
              <w:rPr>
                <w:sz w:val="19"/>
                <w:szCs w:val="19"/>
                <w:lang w:eastAsia="es-CL"/>
              </w:rPr>
            </w:pPr>
            <w:r w:rsidRPr="0068550C">
              <w:rPr>
                <w:rFonts w:cs="Calibri"/>
                <w:b/>
                <w:sz w:val="19"/>
                <w:szCs w:val="19"/>
                <w:lang w:eastAsia="es-CL"/>
              </w:rPr>
              <w:t xml:space="preserve">Servicios esenciales para el funcionamiento del negocio: </w:t>
            </w:r>
            <w:r w:rsidRPr="0068550C">
              <w:rPr>
                <w:rFonts w:cs="Calibri"/>
                <w:sz w:val="19"/>
                <w:szCs w:val="19"/>
                <w:lang w:eastAsia="es-CL"/>
              </w:rPr>
              <w:t>Comprende el gasto en aquellos servicios que son contratados por la empresa a un tercero, y resultan indispensables para el desarrollo del negocio.</w:t>
            </w:r>
            <w:r w:rsidRPr="0068550C">
              <w:rPr>
                <w:rFonts w:ascii="Calibri" w:hAnsi="Calibri" w:cs="Calibri"/>
                <w:b/>
                <w:sz w:val="19"/>
                <w:szCs w:val="19"/>
                <w:lang w:eastAsia="es-CL"/>
              </w:rPr>
              <w:t>                   </w:t>
            </w:r>
            <w:r w:rsidR="003B4F0D" w:rsidRPr="0068550C">
              <w:rPr>
                <w:rFonts w:ascii="Calibri" w:hAnsi="Calibri" w:cs="Calibri"/>
                <w:sz w:val="19"/>
                <w:szCs w:val="19"/>
                <w:lang w:eastAsia="es-CL"/>
              </w:rPr>
              <w:t>                       </w:t>
            </w:r>
            <w:r w:rsidR="003B4F0D" w:rsidRPr="0068550C">
              <w:rPr>
                <w:sz w:val="19"/>
                <w:szCs w:val="19"/>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89DDE13" w14:textId="0F1C1DD6" w:rsidR="001833EC" w:rsidRPr="001833EC" w:rsidRDefault="001833EC" w:rsidP="005C6C07">
      <w:pPr>
        <w:pStyle w:val="Prrafodelista"/>
        <w:numPr>
          <w:ilvl w:val="0"/>
          <w:numId w:val="27"/>
        </w:numPr>
        <w:rPr>
          <w:rFonts w:eastAsia="Arial Unicode MS" w:cs="Arial"/>
          <w:color w:val="000000" w:themeColor="text1"/>
          <w:lang w:val="es-CL"/>
        </w:rPr>
      </w:pPr>
      <w:r w:rsidRPr="001833EC">
        <w:rPr>
          <w:rFonts w:eastAsia="Arial Unicode MS" w:cs="Arial"/>
          <w:color w:val="000000" w:themeColor="text1"/>
          <w:lang w:val="es-CL"/>
        </w:rPr>
        <w:t>Contar co</w:t>
      </w:r>
      <w:r w:rsidR="001040ED">
        <w:rPr>
          <w:rFonts w:eastAsia="Arial Unicode MS" w:cs="Arial"/>
          <w:color w:val="000000" w:themeColor="text1"/>
          <w:lang w:val="es-CL"/>
        </w:rPr>
        <w:t>n una empresa registrada en la p</w:t>
      </w:r>
      <w:r w:rsidRPr="001833EC">
        <w:rPr>
          <w:rFonts w:eastAsia="Arial Unicode MS" w:cs="Arial"/>
          <w:color w:val="000000" w:themeColor="text1"/>
          <w:lang w:val="es-CL"/>
        </w:rPr>
        <w:t>rovincia de Santiago (incluidas las comunas de San Bernardo y Puente Alto), en el portal www.sercotec.cl.</w:t>
      </w:r>
    </w:p>
    <w:p w14:paraId="4F99379E" w14:textId="64D51430"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1D049377" w:rsidR="00E96AC9" w:rsidRPr="001040ED" w:rsidRDefault="00E96AC9" w:rsidP="001040ED">
      <w:pPr>
        <w:pStyle w:val="Prrafodelista"/>
        <w:numPr>
          <w:ilvl w:val="0"/>
          <w:numId w:val="27"/>
        </w:numPr>
        <w:jc w:val="both"/>
        <w:rPr>
          <w:rFonts w:eastAsia="Arial Unicode MS" w:cs="Arial"/>
          <w:color w:val="000000"/>
          <w:szCs w:val="22"/>
        </w:rPr>
      </w:pPr>
      <w:r w:rsidRPr="001833EC">
        <w:rPr>
          <w:rFonts w:eastAsia="Arial Unicode MS" w:cs="Arial"/>
          <w:color w:val="000000"/>
          <w:szCs w:val="22"/>
        </w:rPr>
        <w:t>Tener domi</w:t>
      </w:r>
      <w:r w:rsidR="00DD34DB" w:rsidRPr="001833EC">
        <w:rPr>
          <w:rFonts w:eastAsia="Arial Unicode MS" w:cs="Arial"/>
          <w:color w:val="000000"/>
          <w:szCs w:val="22"/>
        </w:rPr>
        <w:t xml:space="preserve">cilio comercial en la </w:t>
      </w:r>
      <w:r w:rsidR="001040ED">
        <w:rPr>
          <w:rFonts w:eastAsia="Arial Unicode MS" w:cs="Arial"/>
          <w:color w:val="000000"/>
          <w:szCs w:val="22"/>
        </w:rPr>
        <w:t>p</w:t>
      </w:r>
      <w:r w:rsidR="00FC73C2" w:rsidRPr="001040ED">
        <w:rPr>
          <w:rFonts w:eastAsia="Arial Unicode MS" w:cs="Arial"/>
          <w:color w:val="000000"/>
          <w:szCs w:val="22"/>
        </w:rPr>
        <w:t xml:space="preserve">rovincia </w:t>
      </w:r>
      <w:r w:rsidR="006949F9" w:rsidRPr="001040ED">
        <w:rPr>
          <w:rFonts w:eastAsia="Arial Unicode MS" w:cs="Arial"/>
          <w:color w:val="000000"/>
          <w:szCs w:val="22"/>
        </w:rPr>
        <w:t>de Santiago</w:t>
      </w:r>
      <w:r w:rsidR="001833EC" w:rsidRPr="001833EC">
        <w:t xml:space="preserve"> </w:t>
      </w:r>
      <w:r w:rsidR="001833EC" w:rsidRPr="001040ED">
        <w:rPr>
          <w:rFonts w:eastAsia="Arial Unicode MS" w:cs="Arial"/>
          <w:color w:val="000000"/>
          <w:szCs w:val="22"/>
        </w:rPr>
        <w:t xml:space="preserve">(incluidas las comunas de San Bernardo y Puente Alto), en el portal </w:t>
      </w:r>
      <w:hyperlink r:id="rId22" w:history="1">
        <w:r w:rsidR="001833EC" w:rsidRPr="001040ED">
          <w:rPr>
            <w:rStyle w:val="Hipervnculo"/>
            <w:rFonts w:eastAsia="Arial Unicode MS" w:cs="Arial"/>
            <w:szCs w:val="22"/>
          </w:rPr>
          <w:t>www.sercotec.cl</w:t>
        </w:r>
      </w:hyperlink>
      <w:r w:rsidR="001833EC" w:rsidRPr="001040ED">
        <w:rPr>
          <w:rFonts w:eastAsia="Arial Unicode MS" w:cs="Arial"/>
          <w:color w:val="000000"/>
          <w:szCs w:val="22"/>
        </w:rPr>
        <w:t xml:space="preserve">. </w:t>
      </w:r>
      <w:r w:rsidRPr="001040ED">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lastRenderedPageBreak/>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lastRenderedPageBreak/>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D82130" w:rsidRPr="008B0FD2" w14:paraId="26A3301A" w14:textId="77777777" w:rsidTr="00D82130">
        <w:trPr>
          <w:jc w:val="center"/>
        </w:trPr>
        <w:tc>
          <w:tcPr>
            <w:tcW w:w="8828" w:type="dxa"/>
            <w:gridSpan w:val="2"/>
            <w:shd w:val="clear" w:color="auto" w:fill="D9D9D9" w:themeFill="background1" w:themeFillShade="D9"/>
          </w:tcPr>
          <w:p w14:paraId="1AC5859A" w14:textId="45A75000" w:rsidR="00D82130" w:rsidRPr="008B0FD2" w:rsidRDefault="00D82130" w:rsidP="007966C1">
            <w:pPr>
              <w:jc w:val="center"/>
              <w:rPr>
                <w:b/>
                <w:sz w:val="21"/>
                <w:szCs w:val="21"/>
              </w:rPr>
            </w:pPr>
            <w:r w:rsidRPr="008B0FD2">
              <w:rPr>
                <w:b/>
                <w:sz w:val="21"/>
                <w:szCs w:val="21"/>
              </w:rPr>
              <w:t xml:space="preserve">Datos de contacto Punto Mipe </w:t>
            </w:r>
          </w:p>
        </w:tc>
      </w:tr>
      <w:tr w:rsidR="00D82130" w:rsidRPr="008B0FD2" w14:paraId="45A815C9" w14:textId="77777777" w:rsidTr="00C57086">
        <w:trPr>
          <w:jc w:val="center"/>
        </w:trPr>
        <w:tc>
          <w:tcPr>
            <w:tcW w:w="1980" w:type="dxa"/>
          </w:tcPr>
          <w:p w14:paraId="5D79100A" w14:textId="77777777" w:rsidR="00D82130" w:rsidRPr="008B0FD2" w:rsidRDefault="00D82130" w:rsidP="00364F36">
            <w:pPr>
              <w:rPr>
                <w:sz w:val="21"/>
                <w:szCs w:val="21"/>
              </w:rPr>
            </w:pPr>
            <w:r w:rsidRPr="008B0FD2">
              <w:rPr>
                <w:sz w:val="21"/>
                <w:szCs w:val="21"/>
              </w:rPr>
              <w:t>Contacto OIRS</w:t>
            </w:r>
          </w:p>
        </w:tc>
        <w:tc>
          <w:tcPr>
            <w:tcW w:w="6848" w:type="dxa"/>
          </w:tcPr>
          <w:p w14:paraId="08692B20" w14:textId="77777777" w:rsidR="00D82130" w:rsidRPr="008B0FD2" w:rsidRDefault="00E74EDF" w:rsidP="00364F36">
            <w:pPr>
              <w:rPr>
                <w:sz w:val="21"/>
                <w:szCs w:val="21"/>
              </w:rPr>
            </w:pPr>
            <w:hyperlink r:id="rId27" w:history="1">
              <w:r w:rsidR="00D82130" w:rsidRPr="008B0FD2">
                <w:rPr>
                  <w:rStyle w:val="Hipervnculo"/>
                  <w:sz w:val="21"/>
                  <w:szCs w:val="21"/>
                </w:rPr>
                <w:t>www.sercotec.cl/contacto /</w:t>
              </w:r>
            </w:hyperlink>
            <w:r w:rsidR="00D82130">
              <w:rPr>
                <w:sz w:val="21"/>
                <w:szCs w:val="21"/>
              </w:rPr>
              <w:t xml:space="preserve"> </w:t>
            </w:r>
            <w:hyperlink r:id="rId28" w:history="1">
              <w:r w:rsidR="00D82130" w:rsidRPr="00D5393E">
                <w:rPr>
                  <w:rStyle w:val="Hipervnculo"/>
                </w:rPr>
                <w:t>mipesantiago@sercotec.cl</w:t>
              </w:r>
            </w:hyperlink>
            <w:r w:rsidR="00D82130">
              <w:t xml:space="preserve"> </w:t>
            </w:r>
          </w:p>
        </w:tc>
      </w:tr>
      <w:tr w:rsidR="00D82130" w:rsidRPr="008B0FD2" w14:paraId="23515B9A" w14:textId="77777777" w:rsidTr="00C57086">
        <w:trPr>
          <w:jc w:val="center"/>
        </w:trPr>
        <w:tc>
          <w:tcPr>
            <w:tcW w:w="1980" w:type="dxa"/>
          </w:tcPr>
          <w:p w14:paraId="5C588B79" w14:textId="77777777" w:rsidR="00D82130" w:rsidRPr="008B0FD2" w:rsidRDefault="00D82130" w:rsidP="00364F36">
            <w:pPr>
              <w:rPr>
                <w:sz w:val="21"/>
                <w:szCs w:val="21"/>
              </w:rPr>
            </w:pPr>
            <w:r w:rsidRPr="008B0FD2">
              <w:rPr>
                <w:sz w:val="21"/>
                <w:szCs w:val="21"/>
              </w:rPr>
              <w:t>Teléfonos</w:t>
            </w:r>
          </w:p>
        </w:tc>
        <w:tc>
          <w:tcPr>
            <w:tcW w:w="6848" w:type="dxa"/>
          </w:tcPr>
          <w:p w14:paraId="4BEB776D" w14:textId="77777777" w:rsidR="00D82130" w:rsidRPr="008B0FD2" w:rsidRDefault="00D82130" w:rsidP="00364F36">
            <w:pPr>
              <w:rPr>
                <w:sz w:val="21"/>
                <w:szCs w:val="21"/>
              </w:rPr>
            </w:pPr>
            <w:r w:rsidRPr="000715CB">
              <w:rPr>
                <w:sz w:val="21"/>
                <w:szCs w:val="21"/>
              </w:rPr>
              <w:t>232425432 – 232425430 – 232425425 – 23242 5424</w:t>
            </w:r>
          </w:p>
        </w:tc>
      </w:tr>
      <w:tr w:rsidR="00D82130" w:rsidRPr="008B0FD2" w14:paraId="0F35C7A5" w14:textId="77777777" w:rsidTr="00C57086">
        <w:trPr>
          <w:jc w:val="center"/>
        </w:trPr>
        <w:tc>
          <w:tcPr>
            <w:tcW w:w="1980" w:type="dxa"/>
          </w:tcPr>
          <w:p w14:paraId="0333F5F8" w14:textId="77777777" w:rsidR="00D82130" w:rsidRPr="008B0FD2" w:rsidRDefault="00D82130" w:rsidP="00364F36">
            <w:pPr>
              <w:rPr>
                <w:sz w:val="21"/>
                <w:szCs w:val="21"/>
              </w:rPr>
            </w:pPr>
            <w:r w:rsidRPr="008B0FD2">
              <w:rPr>
                <w:sz w:val="21"/>
                <w:szCs w:val="21"/>
              </w:rPr>
              <w:t>Dirección</w:t>
            </w:r>
          </w:p>
        </w:tc>
        <w:tc>
          <w:tcPr>
            <w:tcW w:w="6848" w:type="dxa"/>
          </w:tcPr>
          <w:p w14:paraId="7B6FE875" w14:textId="77777777" w:rsidR="00D82130" w:rsidRPr="008B0FD2" w:rsidRDefault="00D82130" w:rsidP="00364F36">
            <w:pPr>
              <w:rPr>
                <w:sz w:val="21"/>
                <w:szCs w:val="21"/>
              </w:rPr>
            </w:pPr>
            <w:r w:rsidRPr="000715CB">
              <w:rPr>
                <w:sz w:val="21"/>
                <w:szCs w:val="21"/>
              </w:rPr>
              <w:t>Huérfanos 1117 Of. 646 Santiago</w:t>
            </w:r>
            <w:r>
              <w:rPr>
                <w:sz w:val="21"/>
                <w:szCs w:val="21"/>
              </w:rPr>
              <w:t>.</w:t>
            </w:r>
          </w:p>
        </w:tc>
      </w:tr>
      <w:tr w:rsidR="00D82130" w:rsidRPr="008B0FD2" w14:paraId="4C1C34ED" w14:textId="77777777" w:rsidTr="00C57086">
        <w:trPr>
          <w:jc w:val="center"/>
        </w:trPr>
        <w:tc>
          <w:tcPr>
            <w:tcW w:w="1980" w:type="dxa"/>
          </w:tcPr>
          <w:p w14:paraId="1D38C828" w14:textId="77777777" w:rsidR="00D82130" w:rsidRPr="008B0FD2" w:rsidRDefault="00D82130" w:rsidP="00364F36">
            <w:pPr>
              <w:rPr>
                <w:sz w:val="21"/>
                <w:szCs w:val="21"/>
              </w:rPr>
            </w:pPr>
            <w:r w:rsidRPr="008B0FD2">
              <w:rPr>
                <w:sz w:val="21"/>
                <w:szCs w:val="21"/>
              </w:rPr>
              <w:t>Horario de Atención</w:t>
            </w:r>
          </w:p>
        </w:tc>
        <w:tc>
          <w:tcPr>
            <w:tcW w:w="6848" w:type="dxa"/>
          </w:tcPr>
          <w:p w14:paraId="26635763" w14:textId="77777777" w:rsidR="00D82130" w:rsidRPr="008B0FD2" w:rsidRDefault="00D82130" w:rsidP="00364F36">
            <w:pPr>
              <w:jc w:val="both"/>
              <w:rPr>
                <w:sz w:val="21"/>
                <w:szCs w:val="21"/>
              </w:rPr>
            </w:pPr>
            <w:r>
              <w:rPr>
                <w:sz w:val="21"/>
                <w:szCs w:val="21"/>
              </w:rPr>
              <w:t>Lunes a j</w:t>
            </w:r>
            <w:r w:rsidRPr="000715CB">
              <w:rPr>
                <w:sz w:val="21"/>
                <w:szCs w:val="21"/>
              </w:rPr>
              <w:t>ueves de 9:00 – 13:00</w:t>
            </w:r>
            <w:r>
              <w:rPr>
                <w:sz w:val="21"/>
                <w:szCs w:val="21"/>
              </w:rPr>
              <w:t xml:space="preserve"> horas</w:t>
            </w:r>
            <w:r w:rsidRPr="000715CB">
              <w:rPr>
                <w:sz w:val="21"/>
                <w:szCs w:val="21"/>
              </w:rPr>
              <w:t xml:space="preserve"> / 14:00 – 18:00</w:t>
            </w:r>
            <w:r>
              <w:rPr>
                <w:sz w:val="21"/>
                <w:szCs w:val="21"/>
              </w:rPr>
              <w:t xml:space="preserve"> horas</w:t>
            </w:r>
            <w:r w:rsidRPr="000715CB">
              <w:rPr>
                <w:sz w:val="21"/>
                <w:szCs w:val="21"/>
              </w:rPr>
              <w:t xml:space="preserve"> / Viernes de </w:t>
            </w:r>
            <w:r>
              <w:rPr>
                <w:sz w:val="21"/>
                <w:szCs w:val="21"/>
              </w:rPr>
              <w:t>9:00 – 13:00 / 14:00 – 16:00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w:t>
      </w:r>
      <w:r>
        <w:rPr>
          <w:rFonts w:cs="Arial"/>
          <w:szCs w:val="22"/>
          <w:lang w:val="es-CL"/>
        </w:rPr>
        <w:lastRenderedPageBreak/>
        <w:t xml:space="preserve">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de sus representantes legales debe ser de sexo registral femenino, o la cooperativa compuesta por </w:t>
      </w:r>
      <w:r w:rsidR="00AE3E8E" w:rsidRPr="00AE3E8E">
        <w:rPr>
          <w:rFonts w:cs="Arial"/>
          <w:szCs w:val="22"/>
        </w:rPr>
        <w:lastRenderedPageBreak/>
        <w:t>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4D3073">
        <w:trPr>
          <w:jc w:val="center"/>
        </w:trPr>
        <w:tc>
          <w:tcPr>
            <w:tcW w:w="4209"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791"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4D3073">
        <w:trPr>
          <w:trHeight w:val="388"/>
          <w:jc w:val="center"/>
        </w:trPr>
        <w:tc>
          <w:tcPr>
            <w:tcW w:w="4209"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791"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4D3073">
        <w:trPr>
          <w:trHeight w:val="528"/>
          <w:jc w:val="center"/>
        </w:trPr>
        <w:tc>
          <w:tcPr>
            <w:tcW w:w="4209"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791"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FA222C" w:rsidRPr="004D3073" w14:paraId="201E460A" w14:textId="77777777" w:rsidTr="004D3073">
        <w:trPr>
          <w:trHeight w:val="528"/>
          <w:jc w:val="center"/>
        </w:trPr>
        <w:tc>
          <w:tcPr>
            <w:tcW w:w="4209" w:type="pct"/>
            <w:shd w:val="clear" w:color="auto" w:fill="auto"/>
            <w:vAlign w:val="center"/>
          </w:tcPr>
          <w:p w14:paraId="71980B1C" w14:textId="460F321F" w:rsidR="00FA222C" w:rsidRPr="004D3073" w:rsidRDefault="004D3073" w:rsidP="004D3073">
            <w:pPr>
              <w:pStyle w:val="Prrafodelista"/>
              <w:numPr>
                <w:ilvl w:val="0"/>
                <w:numId w:val="18"/>
              </w:numPr>
              <w:ind w:left="306" w:hanging="284"/>
              <w:jc w:val="both"/>
              <w:rPr>
                <w:rFonts w:eastAsia="Arial Unicode MS" w:cstheme="minorHAnsi"/>
                <w:bCs/>
                <w:sz w:val="20"/>
                <w:szCs w:val="20"/>
                <w:lang w:val="es-CL"/>
              </w:rPr>
            </w:pPr>
            <w:r w:rsidRPr="004D3073">
              <w:rPr>
                <w:rFonts w:eastAsia="Arial Unicode MS" w:cstheme="minorHAnsi"/>
                <w:bCs/>
                <w:sz w:val="20"/>
                <w:szCs w:val="20"/>
              </w:rPr>
              <w:t xml:space="preserve">Empresa postulante presenta </w:t>
            </w:r>
            <w:r w:rsidRPr="004D3073">
              <w:rPr>
                <w:rFonts w:eastAsia="Arial" w:cs="Arial"/>
                <w:color w:val="000000"/>
                <w:sz w:val="20"/>
                <w:szCs w:val="20"/>
              </w:rPr>
              <w:t>giro</w:t>
            </w:r>
            <w:r w:rsidRPr="004D3073">
              <w:rPr>
                <w:rFonts w:eastAsia="Arial Unicode MS" w:cstheme="minorHAnsi"/>
                <w:bCs/>
                <w:sz w:val="20"/>
                <w:szCs w:val="20"/>
              </w:rPr>
              <w:t xml:space="preserve"> actividad económica en los siguientes rubros: Turismo, hotelería y  gastronomía.</w:t>
            </w:r>
          </w:p>
        </w:tc>
        <w:tc>
          <w:tcPr>
            <w:tcW w:w="791" w:type="pct"/>
            <w:shd w:val="clear" w:color="auto" w:fill="auto"/>
            <w:vAlign w:val="center"/>
          </w:tcPr>
          <w:p w14:paraId="70EF1C51" w14:textId="0A0E0202" w:rsidR="00FA222C" w:rsidRPr="004D3073" w:rsidRDefault="00EB02BA" w:rsidP="00FA222C">
            <w:pPr>
              <w:jc w:val="center"/>
              <w:rPr>
                <w:rFonts w:eastAsia="Arial Unicode MS" w:cstheme="minorHAnsi"/>
                <w:bCs/>
                <w:sz w:val="20"/>
                <w:szCs w:val="20"/>
              </w:rPr>
            </w:pPr>
            <w:r w:rsidRPr="004D3073">
              <w:rPr>
                <w:rFonts w:eastAsia="Arial Unicode MS" w:cstheme="minorHAnsi"/>
                <w:bCs/>
                <w:sz w:val="20"/>
                <w:szCs w:val="20"/>
              </w:rPr>
              <w:t>2</w:t>
            </w:r>
            <w:r w:rsidR="00BD0C32" w:rsidRPr="004D3073">
              <w:rPr>
                <w:rFonts w:eastAsia="Arial Unicode MS" w:cstheme="minorHAnsi"/>
                <w:bCs/>
                <w:sz w:val="20"/>
                <w:szCs w:val="20"/>
              </w:rPr>
              <w:t>0</w:t>
            </w:r>
            <w:r w:rsidR="00FA222C" w:rsidRPr="004D3073">
              <w:rPr>
                <w:rFonts w:eastAsia="Arial Unicode MS" w:cstheme="minorHAnsi"/>
                <w:bCs/>
                <w:sz w:val="20"/>
                <w:szCs w:val="20"/>
              </w:rPr>
              <w:t>%</w:t>
            </w:r>
          </w:p>
        </w:tc>
      </w:tr>
      <w:tr w:rsidR="00FA222C" w:rsidRPr="004D3073" w14:paraId="1ACBE1AF" w14:textId="77777777" w:rsidTr="004D3073">
        <w:trPr>
          <w:trHeight w:val="515"/>
          <w:jc w:val="center"/>
        </w:trPr>
        <w:tc>
          <w:tcPr>
            <w:tcW w:w="4209" w:type="pct"/>
            <w:shd w:val="clear" w:color="auto" w:fill="auto"/>
            <w:vAlign w:val="center"/>
          </w:tcPr>
          <w:p w14:paraId="4471B5CA" w14:textId="7EE3CF10" w:rsidR="00FA222C" w:rsidRPr="004D3073" w:rsidRDefault="004D3073" w:rsidP="004D3073">
            <w:pPr>
              <w:pStyle w:val="Prrafodelista"/>
              <w:numPr>
                <w:ilvl w:val="0"/>
                <w:numId w:val="18"/>
              </w:numPr>
              <w:ind w:left="306" w:hanging="284"/>
              <w:jc w:val="both"/>
              <w:rPr>
                <w:rFonts w:eastAsia="Arial Unicode MS" w:cstheme="minorHAnsi"/>
                <w:bCs/>
                <w:sz w:val="20"/>
                <w:szCs w:val="20"/>
                <w:lang w:val="es-CL"/>
              </w:rPr>
            </w:pPr>
            <w:r w:rsidRPr="004D3073">
              <w:rPr>
                <w:rFonts w:eastAsia="Arial Unicode MS" w:cstheme="minorHAnsi"/>
                <w:bCs/>
                <w:sz w:val="20"/>
                <w:szCs w:val="20"/>
              </w:rPr>
              <w:lastRenderedPageBreak/>
              <w:t>Empresa y/o proyecto postulado contempla acciones productivas basado en la economía circular.</w:t>
            </w:r>
            <w:r>
              <w:rPr>
                <w:rStyle w:val="Refdenotaalpie"/>
                <w:rFonts w:eastAsia="Arial Unicode MS" w:cstheme="minorHAnsi"/>
                <w:bCs/>
                <w:sz w:val="20"/>
                <w:szCs w:val="20"/>
              </w:rPr>
              <w:footnoteReference w:id="10"/>
            </w:r>
          </w:p>
        </w:tc>
        <w:tc>
          <w:tcPr>
            <w:tcW w:w="791" w:type="pct"/>
            <w:shd w:val="clear" w:color="auto" w:fill="auto"/>
            <w:vAlign w:val="center"/>
          </w:tcPr>
          <w:p w14:paraId="5957DD26" w14:textId="043042BF" w:rsidR="00FA222C" w:rsidRPr="004D3073" w:rsidRDefault="004D3073" w:rsidP="00FA222C">
            <w:pPr>
              <w:jc w:val="center"/>
              <w:rPr>
                <w:rFonts w:eastAsia="Arial Unicode MS" w:cstheme="minorHAnsi"/>
                <w:bCs/>
                <w:sz w:val="20"/>
                <w:szCs w:val="20"/>
              </w:rPr>
            </w:pPr>
            <w:r w:rsidRPr="004D3073">
              <w:rPr>
                <w:rFonts w:eastAsia="Arial Unicode MS" w:cstheme="minorHAnsi"/>
                <w:bCs/>
                <w:sz w:val="20"/>
                <w:szCs w:val="20"/>
              </w:rPr>
              <w:t>4</w:t>
            </w:r>
            <w:r w:rsidR="00EB02BA" w:rsidRPr="004D3073">
              <w:rPr>
                <w:rFonts w:eastAsia="Arial Unicode MS" w:cstheme="minorHAnsi"/>
                <w:bCs/>
                <w:sz w:val="20"/>
                <w:szCs w:val="20"/>
              </w:rPr>
              <w:t>0</w:t>
            </w:r>
            <w:r w:rsidR="00FA222C" w:rsidRPr="004D3073">
              <w:rPr>
                <w:rFonts w:eastAsia="Arial Unicode MS" w:cstheme="minorHAnsi"/>
                <w:bCs/>
                <w:sz w:val="20"/>
                <w:szCs w:val="20"/>
              </w:rPr>
              <w:t>%</w:t>
            </w:r>
          </w:p>
        </w:tc>
      </w:tr>
      <w:tr w:rsidR="00FA222C" w:rsidRPr="004D3073" w14:paraId="5826CE1A" w14:textId="77777777" w:rsidTr="004D3073">
        <w:trPr>
          <w:jc w:val="center"/>
        </w:trPr>
        <w:tc>
          <w:tcPr>
            <w:tcW w:w="4209"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791"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lastRenderedPageBreak/>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lastRenderedPageBreak/>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18497CA7" w:rsidR="00C8482B" w:rsidRPr="007D2326" w:rsidRDefault="00C8482B" w:rsidP="005C6C07">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63FD50E" w14:textId="091D72D8" w:rsidR="007D2326" w:rsidRPr="006F2B48" w:rsidRDefault="007D2326" w:rsidP="005C6C07">
      <w:pPr>
        <w:numPr>
          <w:ilvl w:val="0"/>
          <w:numId w:val="29"/>
        </w:numPr>
        <w:jc w:val="both"/>
        <w:rPr>
          <w:rFonts w:eastAsia="Arial Unicode MS" w:cs="Arial"/>
          <w:color w:val="000000"/>
          <w:lang w:val="es-CL"/>
        </w:rPr>
      </w:pPr>
      <w:r w:rsidRPr="007D2326">
        <w:rPr>
          <w:rFonts w:eastAsia="Arial Unicode MS" w:cs="Arial"/>
          <w:color w:val="000000"/>
          <w:lang w:val="es-CL"/>
        </w:rPr>
        <w:t xml:space="preserve">La </w:t>
      </w:r>
      <w:r w:rsidRPr="007D2326">
        <w:rPr>
          <w:rFonts w:eastAsia="Arial Unicode MS" w:cs="Arial"/>
          <w:color w:val="000000"/>
          <w:u w:val="single"/>
          <w:lang w:val="es-CL"/>
        </w:rPr>
        <w:t>empresa</w:t>
      </w:r>
      <w:r w:rsidRPr="007D2326">
        <w:rPr>
          <w:rFonts w:eastAsia="Arial Unicode MS" w:cs="Arial"/>
          <w:color w:val="000000"/>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7D2326">
          <w:rPr>
            <w:rStyle w:val="Hipervnculo"/>
            <w:rFonts w:eastAsia="Arial Unicode MS" w:cs="Arial"/>
            <w:lang w:val="es-CL"/>
          </w:rPr>
          <w:t>https://www.sii.cl/servicios_online/1047-1702.html</w:t>
        </w:r>
      </w:hyperlink>
      <w:r w:rsidRPr="007D2326">
        <w:rPr>
          <w:rFonts w:eastAsia="Arial Unicode MS" w:cs="Arial"/>
          <w:color w:val="000000"/>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lastRenderedPageBreak/>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lastRenderedPageBreak/>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4"/>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lastRenderedPageBreak/>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1"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2"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3"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23B20711" w14:textId="42D2943E" w:rsidR="007D2326" w:rsidRDefault="007D2326" w:rsidP="007D2326">
      <w:pPr>
        <w:pStyle w:val="Ttulo20"/>
        <w:tabs>
          <w:tab w:val="clear" w:pos="709"/>
        </w:tabs>
        <w:rPr>
          <w:rFonts w:eastAsia="Arial Unicode MS"/>
          <w:szCs w:val="22"/>
        </w:rPr>
      </w:pPr>
      <w:bookmarkStart w:id="84" w:name="_Toc79961815"/>
      <w:bookmarkStart w:id="85" w:name="_Toc162524273"/>
    </w:p>
    <w:p w14:paraId="238DF614" w14:textId="77777777" w:rsidR="007D2326" w:rsidRDefault="007D2326">
      <w:pPr>
        <w:rPr>
          <w:rFonts w:eastAsia="Arial Unicode MS"/>
          <w:b/>
          <w:bCs/>
          <w:iCs/>
          <w:szCs w:val="22"/>
          <w:lang w:val="es-CL"/>
        </w:rPr>
      </w:pPr>
      <w:r>
        <w:rPr>
          <w:rFonts w:eastAsia="Arial Unicode MS"/>
          <w:szCs w:val="22"/>
        </w:rPr>
        <w:br w:type="page"/>
      </w:r>
    </w:p>
    <w:p w14:paraId="17842029" w14:textId="77777777" w:rsidR="007D2326" w:rsidRDefault="007D2326" w:rsidP="007D2326">
      <w:pPr>
        <w:pStyle w:val="Ttulo20"/>
        <w:tabs>
          <w:tab w:val="clear" w:pos="709"/>
        </w:tabs>
        <w:rPr>
          <w:rFonts w:eastAsia="Arial Unicode MS"/>
          <w:szCs w:val="22"/>
        </w:rPr>
      </w:pPr>
    </w:p>
    <w:p w14:paraId="7E8A7235" w14:textId="232780EC" w:rsidR="00521BB8" w:rsidRPr="007D2326" w:rsidRDefault="00521BB8" w:rsidP="007D2326">
      <w:pPr>
        <w:pStyle w:val="Ttulo20"/>
        <w:numPr>
          <w:ilvl w:val="0"/>
          <w:numId w:val="12"/>
        </w:numPr>
        <w:tabs>
          <w:tab w:val="clear" w:pos="709"/>
        </w:tabs>
        <w:ind w:left="284" w:hanging="284"/>
        <w:rPr>
          <w:rFonts w:eastAsia="Arial Unicode MS"/>
          <w:szCs w:val="22"/>
        </w:rPr>
      </w:pPr>
      <w:r w:rsidRPr="007D2326">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591795DE"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1040ED">
              <w:rPr>
                <w:rFonts w:cs="Calibri"/>
                <w:sz w:val="18"/>
                <w:szCs w:val="18"/>
                <w:lang w:val="es-CL" w:eastAsia="en-US"/>
              </w:rPr>
              <w:t>p</w:t>
            </w:r>
            <w:r w:rsidR="00FC73C2">
              <w:rPr>
                <w:rFonts w:cs="Calibri"/>
                <w:sz w:val="18"/>
                <w:szCs w:val="18"/>
                <w:lang w:val="es-CL" w:eastAsia="en-US"/>
              </w:rPr>
              <w:t xml:space="preserve">rovincia </w:t>
            </w:r>
            <w:r w:rsidR="006949F9">
              <w:rPr>
                <w:rFonts w:cs="Calibri"/>
                <w:sz w:val="18"/>
                <w:szCs w:val="18"/>
                <w:lang w:val="es-CL" w:eastAsia="en-US"/>
              </w:rPr>
              <w:t>de Santiago</w:t>
            </w:r>
            <w:r w:rsidR="00361EEF" w:rsidRPr="00361EEF">
              <w:rPr>
                <w:rFonts w:cs="Calibri"/>
                <w:sz w:val="18"/>
                <w:szCs w:val="18"/>
                <w:lang w:val="es-CL" w:eastAsia="en-US"/>
              </w:rPr>
              <w:t xml:space="preserve"> en el portal </w:t>
            </w:r>
            <w:hyperlink r:id="rId34" w:history="1">
              <w:r w:rsidR="001040ED" w:rsidRPr="00D5393E">
                <w:rPr>
                  <w:rStyle w:val="Hipervnculo"/>
                  <w:rFonts w:cs="Calibri"/>
                  <w:sz w:val="18"/>
                  <w:szCs w:val="18"/>
                  <w:lang w:val="es-CL" w:eastAsia="en-US"/>
                </w:rPr>
                <w:t>www.sercotec.cl</w:t>
              </w:r>
            </w:hyperlink>
            <w:r w:rsidR="00361EEF" w:rsidRPr="00361EEF">
              <w:rPr>
                <w:rFonts w:cs="Calibri"/>
                <w:sz w:val="18"/>
                <w:szCs w:val="18"/>
                <w:lang w:val="es-CL" w:eastAsia="en-US"/>
              </w:rPr>
              <w:t>.</w:t>
            </w:r>
            <w:r w:rsidR="001040ED">
              <w:rPr>
                <w:rFonts w:cs="Calibri"/>
                <w:sz w:val="18"/>
                <w:szCs w:val="18"/>
                <w:lang w:val="es-CL" w:eastAsia="en-US"/>
              </w:rPr>
              <w:t xml:space="preserve"> (incluidas las comunas de San Bernardo y Puente Alto)</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E74EDF" w:rsidP="00294611">
            <w:pPr>
              <w:jc w:val="both"/>
              <w:rPr>
                <w:rFonts w:cs="Calibri"/>
                <w:b/>
                <w: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E74EDF" w:rsidP="00D86D9F">
            <w:pPr>
              <w:jc w:val="both"/>
              <w:rPr>
                <w:rFonts w:cs="Calibr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3368C29" w:rsidR="000E3ACD" w:rsidRPr="00475CA6" w:rsidRDefault="00475CA6" w:rsidP="00475CA6">
            <w:pPr>
              <w:pStyle w:val="Prrafodelista"/>
              <w:numPr>
                <w:ilvl w:val="0"/>
                <w:numId w:val="19"/>
              </w:numPr>
              <w:ind w:left="309" w:hanging="284"/>
              <w:contextualSpacing/>
              <w:jc w:val="both"/>
              <w:rPr>
                <w:rFonts w:cs="Calibri"/>
                <w:sz w:val="18"/>
                <w:szCs w:val="18"/>
              </w:rPr>
            </w:pPr>
            <w:r w:rsidRPr="00475CA6">
              <w:rPr>
                <w:rFonts w:cs="Calibri"/>
                <w:sz w:val="18"/>
                <w:szCs w:val="18"/>
              </w:rPr>
              <w:t>T</w:t>
            </w:r>
            <w:r w:rsidR="00AC51FD">
              <w:rPr>
                <w:rFonts w:cs="Calibri"/>
                <w:sz w:val="18"/>
                <w:szCs w:val="18"/>
              </w:rPr>
              <w:t>ener domicilio comercial en la p</w:t>
            </w:r>
            <w:r w:rsidRPr="00475CA6">
              <w:rPr>
                <w:rFonts w:cs="Calibri"/>
                <w:sz w:val="18"/>
                <w:szCs w:val="18"/>
              </w:rPr>
              <w:t>rovincia de Santiago (incluidas las comunas</w:t>
            </w:r>
            <w:r w:rsidR="001040ED">
              <w:rPr>
                <w:rFonts w:cs="Calibri"/>
                <w:sz w:val="18"/>
                <w:szCs w:val="18"/>
              </w:rPr>
              <w:t xml:space="preserve"> de San Bernardo y Puente Alto).</w:t>
            </w:r>
            <w:r w:rsidRPr="00475CA6">
              <w:rPr>
                <w:rFonts w:cs="Calibri"/>
                <w:sz w:val="18"/>
                <w:szCs w:val="18"/>
              </w:rPr>
              <w:t xml:space="preserve">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E74EDF" w:rsidP="006F3FCB">
            <w:pPr>
              <w:rPr>
                <w:rFonts w:cs="Calibri"/>
                <w:sz w:val="18"/>
                <w:szCs w:val="18"/>
              </w:rPr>
            </w:pPr>
            <w:hyperlink r:id="rId37"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E74EDF" w:rsidP="00B87720">
            <w:pPr>
              <w:jc w:val="both"/>
              <w:rPr>
                <w:rFonts w:cs="Calibri"/>
                <w:sz w:val="18"/>
                <w:szCs w:val="18"/>
              </w:rPr>
            </w:pPr>
            <w:hyperlink r:id="rId38"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7D2326" w:rsidRPr="00B93A85" w14:paraId="06173251"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6EF34D6F" w14:textId="4DB40142" w:rsidR="007D2326" w:rsidRPr="008E473A" w:rsidRDefault="007D2326" w:rsidP="005C6C07">
            <w:pPr>
              <w:pStyle w:val="Prrafodelista"/>
              <w:numPr>
                <w:ilvl w:val="0"/>
                <w:numId w:val="32"/>
              </w:numPr>
              <w:ind w:left="309" w:hanging="309"/>
              <w:contextualSpacing/>
              <w:jc w:val="both"/>
              <w:rPr>
                <w:rFonts w:eastAsia="Arial Unicode MS" w:cs="Calibri"/>
                <w:sz w:val="18"/>
                <w:szCs w:val="18"/>
                <w:lang w:val="es-CL" w:eastAsia="en-US"/>
              </w:rPr>
            </w:pPr>
            <w:r w:rsidRPr="007D2326">
              <w:rPr>
                <w:rFonts w:eastAsia="Arial Unicode MS" w:cs="Calibri"/>
                <w:sz w:val="18"/>
                <w:szCs w:val="18"/>
                <w:lang w:val="es-CL" w:eastAsia="en-US"/>
              </w:rPr>
              <w:t xml:space="preserve">La </w:t>
            </w:r>
            <w:r w:rsidRPr="007D2326">
              <w:rPr>
                <w:rFonts w:eastAsia="Arial Unicode MS" w:cs="Calibri"/>
                <w:sz w:val="18"/>
                <w:szCs w:val="18"/>
                <w:u w:val="single"/>
                <w:lang w:val="es-CL" w:eastAsia="en-US"/>
              </w:rPr>
              <w:t>empresa</w:t>
            </w:r>
            <w:r w:rsidRPr="007D2326">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9" w:history="1">
              <w:r w:rsidRPr="007D2326">
                <w:rPr>
                  <w:rStyle w:val="Hipervnculo"/>
                  <w:rFonts w:eastAsia="Arial Unicode MS" w:cs="Calibri"/>
                  <w:sz w:val="18"/>
                  <w:szCs w:val="18"/>
                  <w:lang w:val="es-CL" w:eastAsia="en-US"/>
                </w:rPr>
                <w:t>https://www.sii.cl/servicios_online/1047-1702.html</w:t>
              </w:r>
            </w:hyperlink>
            <w:r w:rsidRPr="007D2326">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06EE7BFC" w14:textId="18BD08FF" w:rsidR="007D2326" w:rsidRPr="008E473A" w:rsidRDefault="007D2326" w:rsidP="008E473A">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1" w:name="_Toc103768352"/>
      <w:bookmarkStart w:id="92" w:name="_Toc342319843"/>
      <w:bookmarkStart w:id="93" w:name="_Toc320871832"/>
      <w:bookmarkStart w:id="94" w:name="_Toc348601375"/>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7"/>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8"/>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9"/>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24663CCD"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AC51FD">
        <w:rPr>
          <w:b/>
          <w:bCs/>
        </w:rPr>
        <w:t>ctorial, p</w:t>
      </w:r>
      <w:r w:rsidR="00571E2C">
        <w:rPr>
          <w:b/>
          <w:bCs/>
        </w:rPr>
        <w:t>rovincia d</w:t>
      </w:r>
      <w:r w:rsidR="00EE516E">
        <w:rPr>
          <w:b/>
          <w:bCs/>
        </w:rPr>
        <w:t>e Santiago y</w:t>
      </w:r>
      <w:r w:rsidR="00EE516E" w:rsidRPr="00EE516E">
        <w:rPr>
          <w:b/>
          <w:bCs/>
        </w:rPr>
        <w:t xml:space="preserve"> </w:t>
      </w:r>
      <w:r w:rsidR="00EE516E" w:rsidRPr="00EE516E">
        <w:rPr>
          <w:b/>
          <w:bCs/>
          <w:iCs/>
          <w:lang w:val="es-CL"/>
        </w:rPr>
        <w:t>Comunas</w:t>
      </w:r>
      <w:r w:rsidR="00571E2C">
        <w:rPr>
          <w:b/>
          <w:bCs/>
          <w:iCs/>
          <w:lang w:val="es-CL"/>
        </w:rPr>
        <w:t xml:space="preserve"> d</w:t>
      </w:r>
      <w:r w:rsidR="00EE516E">
        <w:rPr>
          <w:b/>
          <w:bCs/>
          <w:iCs/>
          <w:lang w:val="es-CL"/>
        </w:rPr>
        <w:t>e San Bernardo y</w:t>
      </w:r>
      <w:r w:rsidR="00EE516E" w:rsidRPr="00EE516E">
        <w:rPr>
          <w:b/>
          <w:bCs/>
          <w:iCs/>
          <w:lang w:val="es-CL"/>
        </w:rPr>
        <w:t xml:space="preserve"> Puente Alto</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40"/>
          <w:footerReference w:type="default" r:id="rId41"/>
          <w:headerReference w:type="first" r:id="rId42"/>
          <w:footerReference w:type="first" r:id="rId43"/>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p w14:paraId="64496031" w14:textId="77777777" w:rsidR="008251CE" w:rsidRPr="008251CE" w:rsidRDefault="008251CE" w:rsidP="008251CE">
      <w:pPr>
        <w:pStyle w:val="Ttulo20"/>
        <w:tabs>
          <w:tab w:val="clear" w:pos="709"/>
          <w:tab w:val="left" w:pos="284"/>
        </w:tabs>
        <w:jc w:val="center"/>
        <w:rPr>
          <w:sz w:val="18"/>
          <w:szCs w:val="22"/>
        </w:rPr>
      </w:pPr>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F832A6" w14:paraId="32D73F14" w14:textId="77777777" w:rsidTr="00792B75">
        <w:trPr>
          <w:jc w:val="center"/>
        </w:trPr>
        <w:tc>
          <w:tcPr>
            <w:tcW w:w="2972" w:type="dxa"/>
            <w:shd w:val="clear" w:color="auto" w:fill="FFFFFF" w:themeFill="background1"/>
            <w:vAlign w:val="center"/>
            <w:hideMark/>
          </w:tcPr>
          <w:p w14:paraId="1F0A5B78"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096" w:type="dxa"/>
            <w:shd w:val="clear" w:color="auto" w:fill="FFFFFF" w:themeFill="background1"/>
            <w:vAlign w:val="center"/>
            <w:hideMark/>
          </w:tcPr>
          <w:p w14:paraId="6B63C2F0"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8F0968" w:rsidRPr="00F832A6" w14:paraId="5E9EC334" w14:textId="77777777" w:rsidTr="00792B75">
        <w:trPr>
          <w:jc w:val="center"/>
        </w:trPr>
        <w:tc>
          <w:tcPr>
            <w:tcW w:w="2972" w:type="dxa"/>
            <w:vMerge w:val="restart"/>
            <w:vAlign w:val="center"/>
            <w:hideMark/>
          </w:tcPr>
          <w:p w14:paraId="069BB238" w14:textId="37184FEB" w:rsidR="008F0968" w:rsidRPr="00F832A6" w:rsidRDefault="008F0968" w:rsidP="005C6C07">
            <w:pPr>
              <w:pStyle w:val="Prrafodelista"/>
              <w:numPr>
                <w:ilvl w:val="1"/>
                <w:numId w:val="30"/>
              </w:numPr>
              <w:ind w:left="172" w:hanging="172"/>
              <w:rPr>
                <w:rFonts w:cs="Calibri"/>
                <w:b/>
                <w:sz w:val="19"/>
                <w:szCs w:val="19"/>
                <w:lang w:val="es-CL" w:eastAsia="en-US"/>
              </w:rPr>
            </w:pPr>
            <w:r w:rsidRPr="00F832A6">
              <w:rPr>
                <w:rFonts w:cs="Calibri"/>
                <w:b/>
                <w:sz w:val="19"/>
                <w:szCs w:val="19"/>
              </w:rPr>
              <w:t xml:space="preserve"> Potencial d</w:t>
            </w:r>
            <w:r w:rsidR="003D39C8" w:rsidRPr="00F832A6">
              <w:rPr>
                <w:rFonts w:cs="Calibri"/>
                <w:b/>
                <w:sz w:val="19"/>
                <w:szCs w:val="19"/>
              </w:rPr>
              <w:t>el</w:t>
            </w:r>
            <w:r w:rsidRPr="00F832A6">
              <w:rPr>
                <w:rFonts w:cs="Calibri"/>
                <w:b/>
                <w:sz w:val="19"/>
                <w:szCs w:val="19"/>
              </w:rPr>
              <w:t xml:space="preserve"> </w:t>
            </w:r>
            <w:r w:rsidR="003D39C8" w:rsidRPr="00F832A6">
              <w:rPr>
                <w:rFonts w:cs="Calibri"/>
                <w:b/>
                <w:sz w:val="19"/>
                <w:szCs w:val="19"/>
              </w:rPr>
              <w:t>Proyecto</w:t>
            </w:r>
            <w:r w:rsidRPr="00F832A6">
              <w:rPr>
                <w:rFonts w:cs="Calibri"/>
                <w:b/>
                <w:sz w:val="19"/>
                <w:szCs w:val="19"/>
              </w:rPr>
              <w:t xml:space="preserve"> de Negocio</w:t>
            </w:r>
          </w:p>
        </w:tc>
        <w:tc>
          <w:tcPr>
            <w:tcW w:w="8096" w:type="dxa"/>
            <w:vAlign w:val="center"/>
            <w:hideMark/>
          </w:tcPr>
          <w:p w14:paraId="0A39E5CE" w14:textId="77777777" w:rsidR="008F0968" w:rsidRPr="00F832A6" w:rsidRDefault="008F0968" w:rsidP="008F0968">
            <w:pPr>
              <w:jc w:val="both"/>
              <w:rPr>
                <w:rFonts w:cs="Calibri"/>
                <w:b/>
                <w:sz w:val="19"/>
                <w:szCs w:val="19"/>
              </w:rPr>
            </w:pPr>
            <w:r w:rsidRPr="00F832A6">
              <w:rPr>
                <w:rFonts w:cs="Calibri"/>
                <w:b/>
                <w:sz w:val="19"/>
                <w:szCs w:val="19"/>
              </w:rPr>
              <w:t>Alta proyección:</w:t>
            </w:r>
          </w:p>
          <w:p w14:paraId="5C18B109" w14:textId="5EAD15BA" w:rsidR="008F0968" w:rsidRPr="00F832A6" w:rsidRDefault="008F0968" w:rsidP="003D39C8">
            <w:pPr>
              <w:jc w:val="both"/>
              <w:rPr>
                <w:rFonts w:cs="Calibri"/>
                <w:sz w:val="19"/>
                <w:szCs w:val="19"/>
              </w:rPr>
            </w:pPr>
            <w:r w:rsidRPr="00F832A6">
              <w:rPr>
                <w:rFonts w:cs="Calibri"/>
                <w:sz w:val="19"/>
                <w:szCs w:val="19"/>
              </w:rPr>
              <w:t>El análisis de las</w:t>
            </w:r>
            <w:r w:rsidR="003D39C8" w:rsidRPr="00F832A6">
              <w:rPr>
                <w:rFonts w:cs="Calibri"/>
                <w:sz w:val="19"/>
                <w:szCs w:val="19"/>
              </w:rPr>
              <w:t xml:space="preserve"> fortalezas y debilidades del Proyecto</w:t>
            </w:r>
            <w:r w:rsidRPr="00F832A6">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F832A6" w:rsidRDefault="008F0968" w:rsidP="008F0968">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24A4BACB" w14:textId="647D8861" w:rsidR="008F0968" w:rsidRPr="00F832A6" w:rsidRDefault="00CC6070" w:rsidP="008F0968">
            <w:pPr>
              <w:jc w:val="center"/>
              <w:rPr>
                <w:rFonts w:cs="Calibri"/>
                <w:sz w:val="19"/>
                <w:szCs w:val="19"/>
                <w:lang w:val="es-CL" w:eastAsia="en-US"/>
              </w:rPr>
            </w:pPr>
            <w:r w:rsidRPr="00F832A6">
              <w:rPr>
                <w:rFonts w:cs="Calibri"/>
                <w:sz w:val="19"/>
                <w:szCs w:val="19"/>
              </w:rPr>
              <w:t>35</w:t>
            </w:r>
            <w:r w:rsidR="008F0968" w:rsidRPr="00F832A6">
              <w:rPr>
                <w:rFonts w:cs="Calibri"/>
                <w:sz w:val="19"/>
                <w:szCs w:val="19"/>
              </w:rPr>
              <w:t>%</w:t>
            </w:r>
          </w:p>
        </w:tc>
      </w:tr>
      <w:tr w:rsidR="008F0968" w:rsidRPr="00F832A6" w14:paraId="24CCEF01" w14:textId="77777777" w:rsidTr="00792B75">
        <w:trPr>
          <w:jc w:val="center"/>
        </w:trPr>
        <w:tc>
          <w:tcPr>
            <w:tcW w:w="2972" w:type="dxa"/>
            <w:vMerge/>
            <w:vAlign w:val="center"/>
            <w:hideMark/>
          </w:tcPr>
          <w:p w14:paraId="0BB38A58" w14:textId="77777777" w:rsidR="008F0968" w:rsidRPr="00F832A6" w:rsidRDefault="008F0968" w:rsidP="008F0968">
            <w:pPr>
              <w:rPr>
                <w:rFonts w:cs="Calibri"/>
                <w:sz w:val="19"/>
                <w:szCs w:val="19"/>
                <w:lang w:val="es-CL" w:eastAsia="en-US"/>
              </w:rPr>
            </w:pPr>
          </w:p>
        </w:tc>
        <w:tc>
          <w:tcPr>
            <w:tcW w:w="8096" w:type="dxa"/>
            <w:vAlign w:val="center"/>
            <w:hideMark/>
          </w:tcPr>
          <w:p w14:paraId="44D4EADC" w14:textId="77777777" w:rsidR="008F0968" w:rsidRPr="00F832A6" w:rsidRDefault="008F0968" w:rsidP="008F0968">
            <w:pPr>
              <w:jc w:val="both"/>
              <w:rPr>
                <w:rFonts w:cs="Calibri"/>
                <w:b/>
                <w:sz w:val="19"/>
                <w:szCs w:val="19"/>
              </w:rPr>
            </w:pPr>
            <w:r w:rsidRPr="00F832A6">
              <w:rPr>
                <w:rFonts w:cs="Calibri"/>
                <w:b/>
                <w:sz w:val="19"/>
                <w:szCs w:val="19"/>
              </w:rPr>
              <w:t>Buena proyección:</w:t>
            </w:r>
          </w:p>
          <w:p w14:paraId="4E08B353" w14:textId="5540120F"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F832A6" w:rsidRDefault="008F0968" w:rsidP="008F0968">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7048680F" w14:textId="77777777" w:rsidR="008F0968" w:rsidRPr="00F832A6" w:rsidRDefault="008F0968" w:rsidP="008F0968">
            <w:pPr>
              <w:rPr>
                <w:rFonts w:cs="Calibri"/>
                <w:b/>
                <w:sz w:val="19"/>
                <w:szCs w:val="19"/>
                <w:lang w:val="es-CL" w:eastAsia="en-US"/>
              </w:rPr>
            </w:pPr>
          </w:p>
        </w:tc>
      </w:tr>
      <w:tr w:rsidR="008F0968" w:rsidRPr="00F832A6" w14:paraId="274FA44A" w14:textId="77777777" w:rsidTr="00792B75">
        <w:trPr>
          <w:jc w:val="center"/>
        </w:trPr>
        <w:tc>
          <w:tcPr>
            <w:tcW w:w="2972" w:type="dxa"/>
            <w:vMerge/>
            <w:vAlign w:val="center"/>
            <w:hideMark/>
          </w:tcPr>
          <w:p w14:paraId="65E12943" w14:textId="77777777" w:rsidR="008F0968" w:rsidRPr="00F832A6" w:rsidRDefault="008F0968" w:rsidP="008F0968">
            <w:pPr>
              <w:rPr>
                <w:rFonts w:cs="Calibri"/>
                <w:sz w:val="19"/>
                <w:szCs w:val="19"/>
                <w:lang w:val="es-CL" w:eastAsia="en-US"/>
              </w:rPr>
            </w:pPr>
          </w:p>
        </w:tc>
        <w:tc>
          <w:tcPr>
            <w:tcW w:w="8096" w:type="dxa"/>
            <w:vAlign w:val="center"/>
            <w:hideMark/>
          </w:tcPr>
          <w:p w14:paraId="0CC17DC3" w14:textId="77777777" w:rsidR="008F0968" w:rsidRPr="00F832A6" w:rsidRDefault="008F0968" w:rsidP="008F0968">
            <w:pPr>
              <w:jc w:val="both"/>
              <w:rPr>
                <w:rFonts w:cs="Calibri"/>
                <w:b/>
                <w:sz w:val="19"/>
                <w:szCs w:val="19"/>
              </w:rPr>
            </w:pPr>
            <w:r w:rsidRPr="00F832A6">
              <w:rPr>
                <w:rFonts w:cs="Calibri"/>
                <w:b/>
                <w:sz w:val="19"/>
                <w:szCs w:val="19"/>
              </w:rPr>
              <w:t>Escasa proyección:</w:t>
            </w:r>
          </w:p>
          <w:p w14:paraId="3FA4D71A" w14:textId="5042BE6B"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corto plazo. Del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F832A6" w:rsidRDefault="008F0968" w:rsidP="008F0968">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020224EF" w14:textId="77777777" w:rsidR="008F0968" w:rsidRPr="00F832A6" w:rsidRDefault="008F0968" w:rsidP="008F0968">
            <w:pPr>
              <w:rPr>
                <w:rFonts w:cs="Calibri"/>
                <w:b/>
                <w:sz w:val="19"/>
                <w:szCs w:val="19"/>
                <w:lang w:val="es-CL" w:eastAsia="en-US"/>
              </w:rPr>
            </w:pPr>
          </w:p>
        </w:tc>
      </w:tr>
      <w:tr w:rsidR="008F0968" w:rsidRPr="00F832A6" w14:paraId="105CDD7C" w14:textId="77777777" w:rsidTr="00792B75">
        <w:trPr>
          <w:jc w:val="center"/>
        </w:trPr>
        <w:tc>
          <w:tcPr>
            <w:tcW w:w="2972" w:type="dxa"/>
            <w:vMerge/>
            <w:vAlign w:val="center"/>
            <w:hideMark/>
          </w:tcPr>
          <w:p w14:paraId="355E7EF5" w14:textId="77777777" w:rsidR="008F0968" w:rsidRPr="00F832A6" w:rsidRDefault="008F0968" w:rsidP="008F0968">
            <w:pPr>
              <w:rPr>
                <w:rFonts w:cs="Calibri"/>
                <w:sz w:val="19"/>
                <w:szCs w:val="19"/>
                <w:lang w:val="es-CL" w:eastAsia="en-US"/>
              </w:rPr>
            </w:pPr>
          </w:p>
        </w:tc>
        <w:tc>
          <w:tcPr>
            <w:tcW w:w="8096" w:type="dxa"/>
            <w:vAlign w:val="center"/>
            <w:hideMark/>
          </w:tcPr>
          <w:p w14:paraId="61F575C9" w14:textId="77777777" w:rsidR="008F0968" w:rsidRPr="00F832A6" w:rsidRDefault="008F0968" w:rsidP="008F0968">
            <w:pPr>
              <w:jc w:val="both"/>
              <w:rPr>
                <w:rFonts w:cs="Calibri"/>
                <w:b/>
                <w:sz w:val="19"/>
                <w:szCs w:val="19"/>
              </w:rPr>
            </w:pPr>
            <w:r w:rsidRPr="00F832A6">
              <w:rPr>
                <w:rFonts w:cs="Calibri"/>
                <w:b/>
                <w:sz w:val="19"/>
                <w:szCs w:val="19"/>
              </w:rPr>
              <w:t>Nula proyección:</w:t>
            </w:r>
          </w:p>
          <w:p w14:paraId="7BA87F91" w14:textId="20B48CD1" w:rsidR="008F0968" w:rsidRPr="00F832A6" w:rsidRDefault="008F0968" w:rsidP="008F0968">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832A6" w:rsidRDefault="008F0968" w:rsidP="008F0968">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5D8D4A01" w14:textId="77777777" w:rsidR="008F0968" w:rsidRPr="00F832A6" w:rsidRDefault="008F0968" w:rsidP="008F0968">
            <w:pPr>
              <w:rPr>
                <w:rFonts w:cs="Calibri"/>
                <w:b/>
                <w:sz w:val="19"/>
                <w:szCs w:val="19"/>
                <w:lang w:val="es-CL" w:eastAsia="en-US"/>
              </w:rPr>
            </w:pPr>
          </w:p>
        </w:tc>
      </w:tr>
      <w:tr w:rsidR="00665154" w:rsidRPr="00F832A6" w14:paraId="3E552B83" w14:textId="77777777" w:rsidTr="00792B75">
        <w:trPr>
          <w:trHeight w:val="519"/>
          <w:jc w:val="center"/>
        </w:trPr>
        <w:tc>
          <w:tcPr>
            <w:tcW w:w="2972" w:type="dxa"/>
            <w:vMerge w:val="restart"/>
            <w:vAlign w:val="center"/>
          </w:tcPr>
          <w:p w14:paraId="44E2BA3E" w14:textId="76870ECB" w:rsidR="00665154" w:rsidRPr="00F832A6" w:rsidRDefault="00665154" w:rsidP="005C6C07">
            <w:pPr>
              <w:pStyle w:val="Prrafodelista"/>
              <w:numPr>
                <w:ilvl w:val="1"/>
                <w:numId w:val="30"/>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096" w:type="dxa"/>
            <w:shd w:val="clear" w:color="auto" w:fill="auto"/>
            <w:vAlign w:val="center"/>
          </w:tcPr>
          <w:p w14:paraId="490FC520" w14:textId="33EE6C6B"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095FE15C" w14:textId="1D970400" w:rsidR="00665154" w:rsidRPr="00F832A6" w:rsidRDefault="00665154" w:rsidP="00665154">
            <w:pPr>
              <w:jc w:val="center"/>
              <w:rPr>
                <w:rFonts w:cs="Calibri"/>
                <w:sz w:val="19"/>
                <w:szCs w:val="19"/>
              </w:rPr>
            </w:pPr>
            <w:r w:rsidRPr="00F832A6">
              <w:rPr>
                <w:rFonts w:cs="Calibri"/>
                <w:sz w:val="19"/>
                <w:szCs w:val="19"/>
              </w:rPr>
              <w:t>5%</w:t>
            </w:r>
          </w:p>
        </w:tc>
      </w:tr>
      <w:tr w:rsidR="00665154" w:rsidRPr="00F832A6" w14:paraId="751A2F45" w14:textId="77777777" w:rsidTr="00792B75">
        <w:trPr>
          <w:trHeight w:val="413"/>
          <w:jc w:val="center"/>
        </w:trPr>
        <w:tc>
          <w:tcPr>
            <w:tcW w:w="2972" w:type="dxa"/>
            <w:vMerge/>
            <w:vAlign w:val="center"/>
          </w:tcPr>
          <w:p w14:paraId="0220868D" w14:textId="77777777" w:rsidR="00665154" w:rsidRPr="00F832A6" w:rsidRDefault="00665154" w:rsidP="00665154">
            <w:pPr>
              <w:rPr>
                <w:rFonts w:cs="Calibri"/>
                <w:b/>
                <w:sz w:val="19"/>
                <w:szCs w:val="19"/>
                <w:lang w:val="es-CL" w:eastAsia="en-US"/>
              </w:rPr>
            </w:pPr>
          </w:p>
        </w:tc>
        <w:tc>
          <w:tcPr>
            <w:tcW w:w="8096" w:type="dxa"/>
            <w:tcBorders>
              <w:bottom w:val="single" w:sz="8" w:space="0" w:color="000000"/>
            </w:tcBorders>
            <w:shd w:val="clear" w:color="auto" w:fill="auto"/>
            <w:vAlign w:val="center"/>
          </w:tcPr>
          <w:p w14:paraId="34D684DF" w14:textId="45812D05"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24B43AF4" w14:textId="07A8FB6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31466840" w14:textId="77777777" w:rsidR="00665154" w:rsidRPr="00F832A6" w:rsidRDefault="00665154" w:rsidP="00665154">
            <w:pPr>
              <w:jc w:val="center"/>
              <w:rPr>
                <w:rFonts w:cs="Calibri"/>
                <w:sz w:val="19"/>
                <w:szCs w:val="19"/>
              </w:rPr>
            </w:pPr>
          </w:p>
        </w:tc>
      </w:tr>
      <w:tr w:rsidR="007D3AAF" w:rsidRPr="007D3AAF" w14:paraId="0EC35C67" w14:textId="77777777" w:rsidTr="00792B75">
        <w:trPr>
          <w:trHeight w:val="466"/>
          <w:jc w:val="center"/>
        </w:trPr>
        <w:tc>
          <w:tcPr>
            <w:tcW w:w="2972" w:type="dxa"/>
            <w:vMerge w:val="restart"/>
            <w:shd w:val="clear" w:color="auto" w:fill="auto"/>
            <w:vAlign w:val="center"/>
          </w:tcPr>
          <w:p w14:paraId="3CA74807" w14:textId="7E6807A0" w:rsidR="007D3AAF" w:rsidRPr="004F6D4C" w:rsidRDefault="007D3AAF" w:rsidP="005C6C07">
            <w:pPr>
              <w:pStyle w:val="Prrafodelista"/>
              <w:numPr>
                <w:ilvl w:val="1"/>
                <w:numId w:val="30"/>
              </w:numPr>
              <w:ind w:left="172" w:hanging="172"/>
              <w:jc w:val="both"/>
              <w:rPr>
                <w:rFonts w:cs="Calibri"/>
                <w:b/>
                <w:bCs/>
                <w:sz w:val="19"/>
                <w:szCs w:val="19"/>
                <w:lang w:val="es-CL"/>
              </w:rPr>
            </w:pPr>
            <w:r w:rsidRPr="003D1A3D">
              <w:rPr>
                <w:rFonts w:eastAsia="Arial" w:cs="Calibri"/>
                <w:color w:val="000000"/>
                <w:sz w:val="19"/>
                <w:szCs w:val="19"/>
              </w:rPr>
              <w:t>Empresa</w:t>
            </w:r>
            <w:r w:rsidRPr="004F6D4C">
              <w:rPr>
                <w:rFonts w:eastAsia="Arial Unicode MS" w:cstheme="minorHAnsi"/>
                <w:bCs/>
                <w:sz w:val="19"/>
                <w:szCs w:val="19"/>
              </w:rPr>
              <w:t xml:space="preserve"> postulante presenta </w:t>
            </w:r>
            <w:r w:rsidRPr="004F6D4C">
              <w:rPr>
                <w:rFonts w:eastAsia="Arial" w:cs="Arial"/>
                <w:color w:val="000000"/>
                <w:sz w:val="19"/>
                <w:szCs w:val="19"/>
              </w:rPr>
              <w:t>giro</w:t>
            </w:r>
            <w:r w:rsidRPr="004F6D4C">
              <w:rPr>
                <w:rFonts w:eastAsia="Arial Unicode MS" w:cstheme="minorHAnsi"/>
                <w:bCs/>
                <w:sz w:val="19"/>
                <w:szCs w:val="19"/>
              </w:rPr>
              <w:t xml:space="preserve"> actividad económica en los siguientes rubros: Turismo, hotelería y  gastronomía.</w:t>
            </w:r>
            <w:r w:rsidR="004F6D4C">
              <w:rPr>
                <w:rStyle w:val="Refdenotaalpie"/>
                <w:rFonts w:eastAsia="Arial Unicode MS" w:cstheme="minorHAnsi"/>
                <w:bCs/>
                <w:sz w:val="19"/>
                <w:szCs w:val="19"/>
              </w:rPr>
              <w:footnoteReference w:id="21"/>
            </w: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AB9B474" w14:textId="77777777" w:rsidR="00792B75" w:rsidRDefault="00792B75" w:rsidP="007D3AAF">
            <w:pPr>
              <w:jc w:val="both"/>
              <w:rPr>
                <w:rFonts w:cs="Calibri"/>
                <w:color w:val="000000" w:themeColor="dark1"/>
                <w:kern w:val="24"/>
                <w:sz w:val="19"/>
                <w:szCs w:val="19"/>
                <w:lang w:val="es-419"/>
              </w:rPr>
            </w:pPr>
          </w:p>
          <w:p w14:paraId="788305D6" w14:textId="02BA0D8C" w:rsidR="007D3AAF" w:rsidRPr="007D3AAF" w:rsidRDefault="008214C0" w:rsidP="007D3AAF">
            <w:pPr>
              <w:jc w:val="both"/>
              <w:rPr>
                <w:rFonts w:eastAsia="Arial" w:cs="Calibri"/>
                <w:color w:val="000000"/>
                <w:sz w:val="19"/>
                <w:szCs w:val="19"/>
              </w:rPr>
            </w:pPr>
            <w:r>
              <w:rPr>
                <w:rFonts w:cs="Calibri"/>
                <w:color w:val="000000" w:themeColor="dark1"/>
                <w:kern w:val="24"/>
                <w:sz w:val="19"/>
                <w:szCs w:val="19"/>
                <w:lang w:val="es-419"/>
              </w:rPr>
              <w:t xml:space="preserve">Empresa postulante y/o </w:t>
            </w:r>
            <w:r w:rsidR="007D3AAF" w:rsidRPr="007D3AAF">
              <w:rPr>
                <w:rFonts w:cs="Calibri"/>
                <w:color w:val="000000" w:themeColor="dark1"/>
                <w:kern w:val="24"/>
                <w:sz w:val="19"/>
                <w:szCs w:val="19"/>
                <w:lang w:val="es-419"/>
              </w:rPr>
              <w:t>pro</w:t>
            </w:r>
            <w:bookmarkStart w:id="116" w:name="_GoBack"/>
            <w:bookmarkEnd w:id="116"/>
            <w:r w:rsidR="007D3AAF" w:rsidRPr="007D3AAF">
              <w:rPr>
                <w:rFonts w:cs="Calibri"/>
                <w:color w:val="000000" w:themeColor="dark1"/>
                <w:kern w:val="24"/>
                <w:sz w:val="19"/>
                <w:szCs w:val="19"/>
                <w:lang w:val="es-419"/>
              </w:rPr>
              <w:t>yecto postulado PERTENECE al giro turismo, hotelería y gastronomía.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583E604" w14:textId="37ECD00A" w:rsidR="007D3AAF" w:rsidRPr="007D3AAF" w:rsidRDefault="007D3AAF" w:rsidP="007D3AAF">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7</w:t>
            </w:r>
          </w:p>
        </w:tc>
        <w:tc>
          <w:tcPr>
            <w:tcW w:w="1335" w:type="dxa"/>
            <w:vMerge w:val="restart"/>
            <w:vAlign w:val="center"/>
          </w:tcPr>
          <w:p w14:paraId="401C0A49" w14:textId="2A9F3AB8" w:rsidR="007D3AAF" w:rsidRPr="007D3AAF" w:rsidRDefault="007D3AAF" w:rsidP="007D3AAF">
            <w:pPr>
              <w:jc w:val="center"/>
              <w:rPr>
                <w:rFonts w:cs="Calibri"/>
                <w:sz w:val="19"/>
                <w:szCs w:val="19"/>
              </w:rPr>
            </w:pPr>
            <w:r w:rsidRPr="007D3AAF">
              <w:rPr>
                <w:rFonts w:cs="Calibri"/>
                <w:sz w:val="19"/>
                <w:szCs w:val="19"/>
              </w:rPr>
              <w:t>20%</w:t>
            </w:r>
          </w:p>
        </w:tc>
      </w:tr>
      <w:tr w:rsidR="007D3AAF" w:rsidRPr="007D3AAF" w14:paraId="514D2B1B" w14:textId="77777777" w:rsidTr="00792B75">
        <w:trPr>
          <w:trHeight w:val="332"/>
          <w:jc w:val="center"/>
        </w:trPr>
        <w:tc>
          <w:tcPr>
            <w:tcW w:w="2972" w:type="dxa"/>
            <w:vMerge/>
            <w:shd w:val="clear" w:color="auto" w:fill="auto"/>
            <w:vAlign w:val="center"/>
          </w:tcPr>
          <w:p w14:paraId="77BC92A3" w14:textId="77777777" w:rsidR="007D3AAF" w:rsidRPr="007D3AAF" w:rsidRDefault="007D3AAF" w:rsidP="007D3AAF">
            <w:pPr>
              <w:rPr>
                <w:rFonts w:cs="Calibri"/>
                <w:b/>
                <w:sz w:val="19"/>
                <w:szCs w:val="19"/>
              </w:rPr>
            </w:pP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A956E58" w14:textId="4A75B060" w:rsidR="008214C0" w:rsidRDefault="008214C0" w:rsidP="008214C0">
            <w:pPr>
              <w:jc w:val="both"/>
              <w:rPr>
                <w:rFonts w:cs="Calibri"/>
                <w:color w:val="000000" w:themeColor="dark1"/>
                <w:kern w:val="24"/>
                <w:sz w:val="19"/>
                <w:szCs w:val="19"/>
                <w:lang w:val="es-419"/>
              </w:rPr>
            </w:pPr>
            <w:r w:rsidRPr="007D3AAF">
              <w:rPr>
                <w:rFonts w:cs="Calibri"/>
                <w:color w:val="000000" w:themeColor="dark1"/>
                <w:kern w:val="24"/>
                <w:sz w:val="19"/>
                <w:szCs w:val="19"/>
                <w:lang w:val="es-419"/>
              </w:rPr>
              <w:t xml:space="preserve">Empresa postulante </w:t>
            </w:r>
            <w:r>
              <w:rPr>
                <w:rFonts w:cs="Calibri"/>
                <w:color w:val="000000" w:themeColor="dark1"/>
                <w:kern w:val="24"/>
                <w:sz w:val="19"/>
                <w:szCs w:val="19"/>
                <w:lang w:val="es-419"/>
              </w:rPr>
              <w:t xml:space="preserve">y/o proyecto </w:t>
            </w:r>
            <w:r w:rsidRPr="007D3AAF">
              <w:rPr>
                <w:rFonts w:cs="Calibri"/>
                <w:color w:val="000000" w:themeColor="dark1"/>
                <w:kern w:val="24"/>
                <w:sz w:val="19"/>
                <w:szCs w:val="19"/>
                <w:lang w:val="es-419"/>
              </w:rPr>
              <w:t>NO PERTENECE al giro turismo, hotelería y gastronomía.</w:t>
            </w:r>
          </w:p>
          <w:p w14:paraId="69AB0CCA" w14:textId="77777777" w:rsidR="00792B75" w:rsidRDefault="00792B75" w:rsidP="007D3AAF">
            <w:pPr>
              <w:jc w:val="both"/>
              <w:rPr>
                <w:rFonts w:cs="Calibri"/>
                <w:color w:val="000000" w:themeColor="dark1"/>
                <w:kern w:val="24"/>
                <w:sz w:val="19"/>
                <w:szCs w:val="19"/>
                <w:lang w:val="es-419"/>
              </w:rPr>
            </w:pPr>
          </w:p>
          <w:p w14:paraId="4C14C45F" w14:textId="76B5A1F5" w:rsidR="007D3AAF" w:rsidRDefault="007D3AAF" w:rsidP="007D3AAF">
            <w:pPr>
              <w:jc w:val="both"/>
              <w:rPr>
                <w:rFonts w:cs="Calibri"/>
                <w:color w:val="000000" w:themeColor="dark1"/>
                <w:kern w:val="24"/>
                <w:sz w:val="19"/>
                <w:szCs w:val="19"/>
                <w:lang w:val="es-419"/>
              </w:rPr>
            </w:pPr>
          </w:p>
          <w:p w14:paraId="18527266" w14:textId="54409158" w:rsidR="004F6D4C" w:rsidRPr="007D3AAF" w:rsidRDefault="004F6D4C" w:rsidP="007D3AAF">
            <w:pPr>
              <w:jc w:val="both"/>
              <w:rPr>
                <w:rFonts w:cs="Calibri"/>
                <w:sz w:val="19"/>
                <w:szCs w:val="19"/>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DFB7E36" w14:textId="70283359" w:rsidR="007D3AAF" w:rsidRPr="007D3AAF" w:rsidRDefault="007D3AAF" w:rsidP="007D3AAF">
            <w:pPr>
              <w:jc w:val="center"/>
              <w:rPr>
                <w:rFonts w:cs="Calibri"/>
                <w:sz w:val="19"/>
                <w:szCs w:val="19"/>
                <w:lang w:val="es-CL" w:eastAsia="en-US"/>
              </w:rPr>
            </w:pPr>
            <w:r w:rsidRPr="007D3AAF">
              <w:rPr>
                <w:rFonts w:ascii="Calibri" w:hAnsi="Calibri" w:cs="Calibri"/>
                <w:color w:val="000000" w:themeColor="dark1"/>
                <w:kern w:val="24"/>
                <w:sz w:val="19"/>
                <w:szCs w:val="19"/>
                <w:lang w:val="es-419"/>
              </w:rPr>
              <w:lastRenderedPageBreak/>
              <w:t> </w:t>
            </w:r>
            <w:r w:rsidRPr="007D3AAF">
              <w:rPr>
                <w:rFonts w:cs="Calibri"/>
                <w:color w:val="000000" w:themeColor="dark1"/>
                <w:kern w:val="24"/>
                <w:sz w:val="19"/>
                <w:szCs w:val="19"/>
                <w:lang w:val="es-419"/>
              </w:rPr>
              <w:t>1</w:t>
            </w:r>
          </w:p>
        </w:tc>
        <w:tc>
          <w:tcPr>
            <w:tcW w:w="1335" w:type="dxa"/>
            <w:vMerge/>
            <w:vAlign w:val="center"/>
          </w:tcPr>
          <w:p w14:paraId="24259837" w14:textId="77777777" w:rsidR="007D3AAF" w:rsidRPr="007D3AAF" w:rsidRDefault="007D3AAF" w:rsidP="007D3AAF">
            <w:pPr>
              <w:jc w:val="center"/>
              <w:rPr>
                <w:rFonts w:cs="Calibri"/>
                <w:sz w:val="19"/>
                <w:szCs w:val="19"/>
              </w:rPr>
            </w:pPr>
          </w:p>
        </w:tc>
      </w:tr>
      <w:tr w:rsidR="007D3AAF" w:rsidRPr="007D3AAF" w14:paraId="558C355E" w14:textId="77777777" w:rsidTr="00792B75">
        <w:trPr>
          <w:trHeight w:val="567"/>
          <w:jc w:val="center"/>
        </w:trPr>
        <w:tc>
          <w:tcPr>
            <w:tcW w:w="2972" w:type="dxa"/>
            <w:vMerge w:val="restart"/>
            <w:shd w:val="clear" w:color="auto" w:fill="auto"/>
            <w:vAlign w:val="center"/>
            <w:hideMark/>
          </w:tcPr>
          <w:p w14:paraId="5E63C2A3" w14:textId="68F47DF3" w:rsidR="007D3AAF" w:rsidRPr="004F6D4C" w:rsidRDefault="007D3AAF" w:rsidP="005C6C07">
            <w:pPr>
              <w:pStyle w:val="Prrafodelista"/>
              <w:numPr>
                <w:ilvl w:val="1"/>
                <w:numId w:val="30"/>
              </w:numPr>
              <w:ind w:left="172" w:hanging="172"/>
              <w:jc w:val="both"/>
              <w:rPr>
                <w:rFonts w:eastAsia="Arial Unicode MS" w:cstheme="minorHAnsi"/>
                <w:bCs/>
                <w:sz w:val="19"/>
                <w:szCs w:val="19"/>
              </w:rPr>
            </w:pPr>
            <w:r w:rsidRPr="004F6D4C">
              <w:rPr>
                <w:rFonts w:eastAsia="Arial Unicode MS" w:cstheme="minorHAnsi"/>
                <w:bCs/>
                <w:sz w:val="19"/>
                <w:szCs w:val="19"/>
              </w:rPr>
              <w:t>Empresa y/o proyecto postulado contempla acciones productivas basado en la economía circular.</w:t>
            </w:r>
            <w:r w:rsidR="00792B75">
              <w:rPr>
                <w:rStyle w:val="Refdenotaalpie"/>
                <w:rFonts w:eastAsia="Arial Unicode MS" w:cstheme="minorHAnsi"/>
                <w:bCs/>
                <w:sz w:val="19"/>
                <w:szCs w:val="19"/>
              </w:rPr>
              <w:footnoteReference w:id="22"/>
            </w: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6291B4" w14:textId="7195E4D5" w:rsidR="007D3AAF" w:rsidRPr="007D3AAF" w:rsidRDefault="007D3AAF" w:rsidP="007D3AAF">
            <w:pPr>
              <w:jc w:val="both"/>
              <w:rPr>
                <w:rFonts w:eastAsia="Arial" w:cs="Calibri"/>
                <w:color w:val="000000"/>
                <w:sz w:val="19"/>
                <w:szCs w:val="19"/>
              </w:rPr>
            </w:pPr>
            <w:r w:rsidRPr="007D3AAF">
              <w:rPr>
                <w:rFonts w:cs="Calibri"/>
                <w:color w:val="000000" w:themeColor="dark1"/>
                <w:kern w:val="24"/>
                <w:sz w:val="19"/>
                <w:szCs w:val="19"/>
                <w:lang w:val="es-419"/>
              </w:rPr>
              <w:t xml:space="preserve">Empresa y/o proyecto postulado  </w:t>
            </w:r>
            <w:r w:rsidRPr="007D3AAF">
              <w:rPr>
                <w:rFonts w:cs="Calibri"/>
                <w:b/>
                <w:bCs/>
                <w:color w:val="000000" w:themeColor="dark1"/>
                <w:kern w:val="24"/>
                <w:sz w:val="19"/>
                <w:szCs w:val="19"/>
                <w:lang w:val="es-419"/>
              </w:rPr>
              <w:t>Contempla</w:t>
            </w:r>
            <w:r w:rsidRPr="007D3AAF">
              <w:rPr>
                <w:rFonts w:cs="Calibri"/>
                <w:color w:val="000000" w:themeColor="dark1"/>
                <w:kern w:val="24"/>
                <w:sz w:val="19"/>
                <w:szCs w:val="19"/>
                <w:lang w:val="es-419"/>
              </w:rPr>
              <w:t xml:space="preserve"> en sus procesos productivos  acciones basadas en la economía circular</w:t>
            </w:r>
            <w:r w:rsidR="004F6D4C">
              <w:rPr>
                <w:rFonts w:cs="Calibri"/>
                <w:color w:val="000000" w:themeColor="dark1"/>
                <w:kern w:val="24"/>
                <w:sz w:val="19"/>
                <w:szCs w:val="19"/>
                <w:lang w:val="es-419"/>
              </w:rPr>
              <w:t>.</w:t>
            </w:r>
            <w:r w:rsidR="004F6D4C">
              <w:rPr>
                <w:rStyle w:val="Refdenotaalpie"/>
                <w:rFonts w:cs="Calibri"/>
                <w:color w:val="000000" w:themeColor="dark1"/>
                <w:kern w:val="24"/>
                <w:sz w:val="19"/>
                <w:szCs w:val="19"/>
                <w:lang w:val="es-419"/>
              </w:rPr>
              <w:footnoteReference w:id="23"/>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17C5D2A" w14:textId="66518404" w:rsidR="007D3AAF" w:rsidRPr="007D3AAF" w:rsidRDefault="007D3AAF" w:rsidP="007D3AAF">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7</w:t>
            </w:r>
          </w:p>
        </w:tc>
        <w:tc>
          <w:tcPr>
            <w:tcW w:w="1335" w:type="dxa"/>
            <w:vMerge w:val="restart"/>
            <w:vAlign w:val="center"/>
            <w:hideMark/>
          </w:tcPr>
          <w:p w14:paraId="0B0EE5A2" w14:textId="2ED12C46" w:rsidR="007D3AAF" w:rsidRPr="007D3AAF" w:rsidRDefault="007D3AAF" w:rsidP="007D3AAF">
            <w:pPr>
              <w:jc w:val="center"/>
              <w:rPr>
                <w:rFonts w:cs="Calibri"/>
                <w:sz w:val="19"/>
                <w:szCs w:val="19"/>
              </w:rPr>
            </w:pPr>
            <w:r w:rsidRPr="007D3AAF">
              <w:rPr>
                <w:rFonts w:cs="Calibri"/>
                <w:sz w:val="19"/>
                <w:szCs w:val="19"/>
              </w:rPr>
              <w:t>40%</w:t>
            </w:r>
          </w:p>
        </w:tc>
      </w:tr>
      <w:tr w:rsidR="007D3AAF" w:rsidRPr="007D3AAF" w14:paraId="01BA91AC" w14:textId="77777777" w:rsidTr="00792B75">
        <w:trPr>
          <w:trHeight w:val="567"/>
          <w:jc w:val="center"/>
        </w:trPr>
        <w:tc>
          <w:tcPr>
            <w:tcW w:w="2972" w:type="dxa"/>
            <w:vMerge/>
            <w:vAlign w:val="center"/>
            <w:hideMark/>
          </w:tcPr>
          <w:p w14:paraId="294CFA8F" w14:textId="77777777" w:rsidR="007D3AAF" w:rsidRPr="007D3AAF" w:rsidRDefault="007D3AAF" w:rsidP="007D3AAF">
            <w:pPr>
              <w:rPr>
                <w:rFonts w:cs="Calibri"/>
                <w:sz w:val="19"/>
                <w:szCs w:val="19"/>
                <w:lang w:val="es-CL" w:eastAsia="en-US"/>
              </w:rPr>
            </w:pP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33142D1" w14:textId="4E8B6D8F" w:rsidR="007D3AAF" w:rsidRPr="007D3AAF" w:rsidRDefault="007D3AAF" w:rsidP="007D3AAF">
            <w:pPr>
              <w:jc w:val="both"/>
              <w:rPr>
                <w:rFonts w:cs="Calibri"/>
                <w:sz w:val="19"/>
                <w:szCs w:val="19"/>
              </w:rPr>
            </w:pPr>
            <w:r w:rsidRPr="007D3AAF">
              <w:rPr>
                <w:rFonts w:cs="Calibri"/>
                <w:color w:val="000000" w:themeColor="dark1"/>
                <w:kern w:val="24"/>
                <w:sz w:val="19"/>
                <w:szCs w:val="19"/>
                <w:lang w:val="es-419"/>
              </w:rPr>
              <w:t xml:space="preserve">Empresa y/o proyecto postulado  </w:t>
            </w:r>
            <w:r w:rsidRPr="007D3AAF">
              <w:rPr>
                <w:rFonts w:cs="Calibri"/>
                <w:b/>
                <w:bCs/>
                <w:color w:val="000000" w:themeColor="dark1"/>
                <w:kern w:val="24"/>
                <w:sz w:val="19"/>
                <w:szCs w:val="19"/>
                <w:lang w:val="es-419"/>
              </w:rPr>
              <w:t>NO</w:t>
            </w:r>
            <w:r w:rsidRPr="007D3AAF">
              <w:rPr>
                <w:rFonts w:cs="Calibri"/>
                <w:color w:val="000000" w:themeColor="dark1"/>
                <w:kern w:val="24"/>
                <w:sz w:val="19"/>
                <w:szCs w:val="19"/>
                <w:lang w:val="es-419"/>
              </w:rPr>
              <w:t xml:space="preserve"> </w:t>
            </w:r>
            <w:r w:rsidRPr="007D3AAF">
              <w:rPr>
                <w:rFonts w:cs="Calibri"/>
                <w:b/>
                <w:bCs/>
                <w:color w:val="000000" w:themeColor="dark1"/>
                <w:kern w:val="24"/>
                <w:sz w:val="19"/>
                <w:szCs w:val="19"/>
                <w:lang w:val="es-419"/>
              </w:rPr>
              <w:t>Contempla</w:t>
            </w:r>
            <w:r w:rsidRPr="007D3AAF">
              <w:rPr>
                <w:rFonts w:cs="Calibri"/>
                <w:color w:val="000000" w:themeColor="dark1"/>
                <w:kern w:val="24"/>
                <w:sz w:val="19"/>
                <w:szCs w:val="19"/>
                <w:lang w:val="es-419"/>
              </w:rPr>
              <w:t xml:space="preserve"> en sus procesos productivos  acciones basadas en la economía circular</w:t>
            </w:r>
            <w:r w:rsidR="004F6D4C">
              <w:rPr>
                <w:rFonts w:cs="Calibri"/>
                <w:color w:val="000000" w:themeColor="dark1"/>
                <w:kern w:val="24"/>
                <w:sz w:val="19"/>
                <w:szCs w:val="19"/>
                <w:lang w:val="es-419"/>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3DD21B9" w14:textId="554798FD" w:rsidR="007D3AAF" w:rsidRPr="007D3AAF" w:rsidRDefault="007D3AAF" w:rsidP="007D3AAF">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1</w:t>
            </w:r>
          </w:p>
        </w:tc>
        <w:tc>
          <w:tcPr>
            <w:tcW w:w="1335" w:type="dxa"/>
            <w:vMerge/>
            <w:vAlign w:val="center"/>
            <w:hideMark/>
          </w:tcPr>
          <w:p w14:paraId="756368DB" w14:textId="77777777" w:rsidR="007D3AAF" w:rsidRPr="007D3AAF" w:rsidRDefault="007D3AAF" w:rsidP="007D3AAF">
            <w:pPr>
              <w:rPr>
                <w:rFonts w:cs="Calibri"/>
                <w:b/>
                <w:sz w:val="19"/>
                <w:szCs w:val="19"/>
                <w:lang w:val="es-CL" w:eastAsia="en-US"/>
              </w:rPr>
            </w:pPr>
          </w:p>
        </w:tc>
      </w:tr>
    </w:tbl>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E74EDF" w:rsidP="0093178B">
      <w:pPr>
        <w:jc w:val="both"/>
        <w:rPr>
          <w:rFonts w:eastAsia="Arial Unicode MS" w:cs="Arial"/>
        </w:rPr>
      </w:pPr>
      <w:hyperlink r:id="rId44"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4D3073" w:rsidRDefault="004D307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A5B1" w14:textId="77777777" w:rsidR="00E74EDF" w:rsidRDefault="00E74EDF" w:rsidP="0042236C">
      <w:r>
        <w:separator/>
      </w:r>
    </w:p>
  </w:endnote>
  <w:endnote w:type="continuationSeparator" w:id="0">
    <w:p w14:paraId="54AEEC79" w14:textId="77777777" w:rsidR="00E74EDF" w:rsidRDefault="00E74EDF" w:rsidP="0042236C">
      <w:r>
        <w:continuationSeparator/>
      </w:r>
    </w:p>
  </w:endnote>
  <w:endnote w:type="continuationNotice" w:id="1">
    <w:p w14:paraId="455E71FA" w14:textId="77777777" w:rsidR="00E74EDF" w:rsidRDefault="00E74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76AD586" w:rsidR="004D3073" w:rsidRPr="00BD14F7" w:rsidRDefault="004D307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105BE9">
      <w:rPr>
        <w:noProof/>
      </w:rPr>
      <w:t>59</w:t>
    </w:r>
    <w:r w:rsidRPr="00BD14F7">
      <w:rPr>
        <w:color w:val="2B579A"/>
        <w:shd w:val="clear" w:color="auto" w:fill="E6E6E6"/>
      </w:rPr>
      <w:fldChar w:fldCharType="end"/>
    </w:r>
  </w:p>
  <w:p w14:paraId="5F9E5B17" w14:textId="77777777" w:rsidR="004D3073" w:rsidRPr="00C25B42" w:rsidRDefault="004D3073" w:rsidP="00C25B42">
    <w:pPr>
      <w:tabs>
        <w:tab w:val="center" w:pos="4252"/>
        <w:tab w:val="right" w:pos="8504"/>
      </w:tabs>
      <w:jc w:val="center"/>
      <w:rPr>
        <w:sz w:val="24"/>
      </w:rPr>
    </w:pPr>
    <w:r w:rsidRPr="00C25B42">
      <w:rPr>
        <w:noProof/>
        <w:sz w:val="24"/>
        <w:lang w:val="es-CL" w:eastAsia="es-CL"/>
      </w:rPr>
      <w:t>www.sercotec.cl</w:t>
    </w:r>
  </w:p>
  <w:p w14:paraId="5919636F" w14:textId="77777777" w:rsidR="004D3073" w:rsidRDefault="004D307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07D7029" w:rsidR="004D3073" w:rsidRDefault="004D307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105BE9">
          <w:rPr>
            <w:noProof/>
          </w:rPr>
          <w:t>60</w:t>
        </w:r>
        <w:r>
          <w:rPr>
            <w:color w:val="2B579A"/>
            <w:shd w:val="clear" w:color="auto" w:fill="E6E6E6"/>
          </w:rPr>
          <w:fldChar w:fldCharType="end"/>
        </w:r>
      </w:p>
    </w:sdtContent>
  </w:sdt>
  <w:p w14:paraId="1A156B1C" w14:textId="06D356CA" w:rsidR="004D3073" w:rsidRDefault="004D307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0DDD" w14:textId="77777777" w:rsidR="00E74EDF" w:rsidRDefault="00E74EDF"/>
  </w:footnote>
  <w:footnote w:type="continuationSeparator" w:id="0">
    <w:p w14:paraId="49517D53" w14:textId="77777777" w:rsidR="00E74EDF" w:rsidRDefault="00E74EDF"/>
  </w:footnote>
  <w:footnote w:type="continuationNotice" w:id="1">
    <w:p w14:paraId="31378F0D" w14:textId="77777777" w:rsidR="00E74EDF" w:rsidRDefault="00E74EDF"/>
  </w:footnote>
  <w:footnote w:id="2">
    <w:p w14:paraId="0FD93410" w14:textId="5DF6FB36" w:rsidR="004D3073" w:rsidRPr="00923DF6" w:rsidRDefault="004D307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4D3073" w:rsidRPr="004244F2" w:rsidRDefault="004D307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4D3073" w:rsidRPr="002E7EE6" w:rsidRDefault="004D307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D3073" w:rsidRPr="002E7EE6" w:rsidRDefault="004D3073">
      <w:pPr>
        <w:pStyle w:val="Textonotapie"/>
        <w:rPr>
          <w:lang w:val="es-419"/>
        </w:rPr>
      </w:pPr>
    </w:p>
  </w:footnote>
  <w:footnote w:id="5">
    <w:p w14:paraId="7597D5E8" w14:textId="77777777" w:rsidR="004D3073" w:rsidRPr="00273436" w:rsidRDefault="004D307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4D3073" w:rsidRPr="005F4396" w:rsidRDefault="004D307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4D3073" w:rsidRPr="002B0090" w:rsidRDefault="004D307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4D3073" w:rsidRPr="0070407B" w:rsidRDefault="004D307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4D3073" w:rsidRPr="00A43847" w:rsidRDefault="004D307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4D3073" w:rsidRPr="009152FB" w:rsidRDefault="004D3073">
      <w:pPr>
        <w:pStyle w:val="Textonotapie"/>
        <w:rPr>
          <w:lang w:val="es-ES"/>
        </w:rPr>
      </w:pPr>
    </w:p>
  </w:footnote>
  <w:footnote w:id="10">
    <w:p w14:paraId="721D8D14" w14:textId="77777777" w:rsidR="004D3073" w:rsidRPr="004D3073" w:rsidRDefault="004D3073" w:rsidP="004D3073">
      <w:pPr>
        <w:pStyle w:val="Textonotapie"/>
        <w:jc w:val="both"/>
      </w:pPr>
      <w:r>
        <w:rPr>
          <w:rStyle w:val="Refdenotaalpie"/>
        </w:rPr>
        <w:footnoteRef/>
      </w:r>
      <w:r>
        <w:t xml:space="preserve"> </w:t>
      </w:r>
      <w:r w:rsidRPr="004D3073">
        <w:rPr>
          <w:lang w:val="es-ES"/>
        </w:rPr>
        <w:t>La economía circular es un modelo de producción y consumo que implica reutilizar, reparar, renovar y reciclar los materiales y productos existentes durante el mayor tiempo posible.</w:t>
      </w:r>
    </w:p>
    <w:p w14:paraId="048B9220" w14:textId="141876F2" w:rsidR="004D3073" w:rsidRPr="004D3073" w:rsidRDefault="004D3073" w:rsidP="004D3073">
      <w:pPr>
        <w:pStyle w:val="Textonotapie"/>
        <w:jc w:val="both"/>
        <w:rPr>
          <w:lang w:val="es-ES"/>
        </w:rPr>
      </w:pPr>
    </w:p>
  </w:footnote>
  <w:footnote w:id="11">
    <w:p w14:paraId="37E93F31" w14:textId="77777777" w:rsidR="004F6D4C" w:rsidRDefault="004F6D4C"/>
    <w:p w14:paraId="16DDF8EB" w14:textId="77777777" w:rsidR="004D3073" w:rsidRPr="00D4342C" w:rsidRDefault="004D3073" w:rsidP="00D4342C">
      <w:pPr>
        <w:pStyle w:val="Textonotapie"/>
      </w:pPr>
    </w:p>
  </w:footnote>
  <w:footnote w:id="12">
    <w:p w14:paraId="0A3FD0F5" w14:textId="77777777" w:rsidR="004D3073" w:rsidRPr="00012C13" w:rsidRDefault="004D3073"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4D3073" w:rsidRPr="00686FCB" w:rsidRDefault="004D307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4D3073" w:rsidRPr="00023CC5" w:rsidRDefault="004D3073">
      <w:pPr>
        <w:pStyle w:val="Textonotapie"/>
        <w:rPr>
          <w:lang w:val="es-MX"/>
        </w:rPr>
      </w:pPr>
    </w:p>
  </w:footnote>
  <w:footnote w:id="14">
    <w:p w14:paraId="1665FABF" w14:textId="588755B8" w:rsidR="004D3073" w:rsidRPr="004746C2" w:rsidRDefault="004D307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4D3073" w:rsidRPr="004746C2" w:rsidRDefault="004D3073">
      <w:pPr>
        <w:pStyle w:val="Textonotapie"/>
        <w:rPr>
          <w:szCs w:val="18"/>
          <w:lang w:val="es-ES"/>
        </w:rPr>
      </w:pPr>
    </w:p>
  </w:footnote>
  <w:footnote w:id="15">
    <w:p w14:paraId="5CA30445" w14:textId="77777777" w:rsidR="004D3073" w:rsidRPr="002B75C6" w:rsidRDefault="004D307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4D3073" w:rsidRPr="00A75D6D" w:rsidRDefault="004D3073" w:rsidP="00521BB8">
      <w:pPr>
        <w:pStyle w:val="Textonotapie"/>
        <w:jc w:val="both"/>
      </w:pPr>
      <w:r w:rsidRPr="00A75D6D">
        <w:rPr>
          <w:rStyle w:val="Refdenotaalpie"/>
        </w:rPr>
        <w:footnoteRef/>
      </w:r>
      <w:r w:rsidRPr="00A75D6D">
        <w:t xml:space="preserve"> No serán días hábiles el sábado, domingo y festivos.</w:t>
      </w:r>
    </w:p>
  </w:footnote>
  <w:footnote w:id="17">
    <w:p w14:paraId="71E2B1B1" w14:textId="77777777" w:rsidR="004D3073" w:rsidRPr="004B1C4D" w:rsidRDefault="004D307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8">
    <w:p w14:paraId="197D78A3" w14:textId="5B6A6159" w:rsidR="004D3073" w:rsidRPr="004B1C4D" w:rsidRDefault="004D307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9">
    <w:p w14:paraId="116F4C5A" w14:textId="4A01347A" w:rsidR="004D3073" w:rsidRPr="00973621" w:rsidRDefault="004D307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0">
    <w:p w14:paraId="431AC5B1" w14:textId="77777777" w:rsidR="004D3073" w:rsidRDefault="004D307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1">
    <w:p w14:paraId="26F2F285" w14:textId="5FC70DFB" w:rsidR="004F6D4C" w:rsidRPr="004F6D4C" w:rsidRDefault="004F6D4C" w:rsidP="004F6D4C">
      <w:pPr>
        <w:pStyle w:val="Textonotapie"/>
      </w:pPr>
      <w:r>
        <w:rPr>
          <w:rStyle w:val="Refdenotaalpie"/>
        </w:rPr>
        <w:footnoteRef/>
      </w:r>
      <w:r>
        <w:t xml:space="preserve"> </w:t>
      </w:r>
      <w:r w:rsidRPr="004F6D4C">
        <w:t>El cri</w:t>
      </w:r>
      <w:r w:rsidR="00BC35CA">
        <w:t>terio se verificará a través de la carpeta tributaria.</w:t>
      </w:r>
    </w:p>
    <w:p w14:paraId="77F97105" w14:textId="214F2789" w:rsidR="004F6D4C" w:rsidRPr="004F6D4C" w:rsidRDefault="004F6D4C">
      <w:pPr>
        <w:pStyle w:val="Textonotapie"/>
        <w:rPr>
          <w:lang w:val="es-ES"/>
        </w:rPr>
      </w:pPr>
    </w:p>
  </w:footnote>
  <w:footnote w:id="22">
    <w:p w14:paraId="0690B00B" w14:textId="45A96053" w:rsidR="00792B75" w:rsidRPr="00792B75" w:rsidRDefault="00792B75">
      <w:pPr>
        <w:pStyle w:val="Textonotapie"/>
      </w:pPr>
      <w:r>
        <w:rPr>
          <w:rStyle w:val="Refdenotaalpie"/>
        </w:rPr>
        <w:footnoteRef/>
      </w:r>
      <w:r>
        <w:t xml:space="preserve"> </w:t>
      </w:r>
      <w:r w:rsidRPr="00792B75">
        <w:t>La economía circular es un modelo de producción y consumo que implica reutilizar, reparar, renovar y reciclar los materiales y productos existentes durante el mayor tiempo posible.</w:t>
      </w:r>
    </w:p>
  </w:footnote>
  <w:footnote w:id="23">
    <w:p w14:paraId="0CC5192B" w14:textId="591F8746" w:rsidR="004F6D4C" w:rsidRPr="004F6D4C" w:rsidRDefault="004F6D4C" w:rsidP="004F6D4C">
      <w:pPr>
        <w:pStyle w:val="Textonotapie"/>
      </w:pPr>
      <w:r>
        <w:rPr>
          <w:rStyle w:val="Refdenotaalpie"/>
        </w:rPr>
        <w:footnoteRef/>
      </w:r>
      <w:r>
        <w:t xml:space="preserve"> </w:t>
      </w:r>
      <w:r>
        <w:rPr>
          <w:lang w:val="es-ES"/>
        </w:rPr>
        <w:t xml:space="preserve">El criterio se verificará en consideración del </w:t>
      </w:r>
      <w:r>
        <w:rPr>
          <w:lang w:val="es-419"/>
        </w:rPr>
        <w:t>plan de trabajo postulado.</w:t>
      </w:r>
    </w:p>
    <w:p w14:paraId="1E78C37B" w14:textId="14E451A7" w:rsidR="004F6D4C" w:rsidRPr="004F6D4C" w:rsidRDefault="004F6D4C">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4D3073" w:rsidRDefault="004D307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D3073" w:rsidRDefault="004D307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4D3073" w:rsidRDefault="004D3073">
    <w:pPr>
      <w:pStyle w:val="Encabezado"/>
      <w:jc w:val="right"/>
    </w:pPr>
  </w:p>
  <w:p w14:paraId="69A0911A" w14:textId="77777777" w:rsidR="004D3073" w:rsidRDefault="004D307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3"/>
  </w:num>
  <w:num w:numId="3">
    <w:abstractNumId w:val="30"/>
  </w:num>
  <w:num w:numId="4">
    <w:abstractNumId w:val="8"/>
  </w:num>
  <w:num w:numId="5">
    <w:abstractNumId w:val="9"/>
  </w:num>
  <w:num w:numId="6">
    <w:abstractNumId w:val="27"/>
  </w:num>
  <w:num w:numId="7">
    <w:abstractNumId w:val="31"/>
  </w:num>
  <w:num w:numId="8">
    <w:abstractNumId w:val="18"/>
  </w:num>
  <w:num w:numId="9">
    <w:abstractNumId w:val="16"/>
  </w:num>
  <w:num w:numId="10">
    <w:abstractNumId w:val="33"/>
  </w:num>
  <w:num w:numId="11">
    <w:abstractNumId w:val="32"/>
  </w:num>
  <w:num w:numId="12">
    <w:abstractNumId w:val="10"/>
  </w:num>
  <w:num w:numId="13">
    <w:abstractNumId w:val="34"/>
  </w:num>
  <w:num w:numId="14">
    <w:abstractNumId w:val="11"/>
  </w:num>
  <w:num w:numId="15">
    <w:abstractNumId w:val="19"/>
  </w:num>
  <w:num w:numId="16">
    <w:abstractNumId w:val="4"/>
  </w:num>
  <w:num w:numId="17">
    <w:abstractNumId w:val="2"/>
  </w:num>
  <w:num w:numId="18">
    <w:abstractNumId w:val="25"/>
  </w:num>
  <w:num w:numId="19">
    <w:abstractNumId w:val="13"/>
  </w:num>
  <w:num w:numId="20">
    <w:abstractNumId w:val="22"/>
  </w:num>
  <w:num w:numId="21">
    <w:abstractNumId w:val="3"/>
  </w:num>
  <w:num w:numId="22">
    <w:abstractNumId w:val="24"/>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8"/>
  </w:num>
  <w:num w:numId="33">
    <w:abstractNumId w:val="12"/>
  </w:num>
  <w:num w:numId="34">
    <w:abstractNumId w:val="26"/>
  </w:num>
  <w:num w:numId="35">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44B"/>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40ED"/>
    <w:rsid w:val="0010508D"/>
    <w:rsid w:val="0010549B"/>
    <w:rsid w:val="00105BE9"/>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19BA"/>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50C"/>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C1"/>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26"/>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14C0"/>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180"/>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908"/>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1FD"/>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AD"/>
    <w:rsid w:val="00B864DC"/>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69D"/>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0B3"/>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4EDF"/>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1E38"/>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281F"/>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yperlink" Target="https://www.sii.cl/servicios_online/1047-1702.html" TargetMode="External"/><Relationship Id="rId21" Type="http://schemas.openxmlformats.org/officeDocument/2006/relationships/hyperlink" Target="http://www.sercotec.cl" TargetMode="External"/><Relationship Id="rId34" Type="http://schemas.openxmlformats.org/officeDocument/2006/relationships/hyperlink" Target="http://www.sercotec.c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www.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mailto:mipesantiago@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apacitacion.sercotec.cl" TargetMode="External"/><Relationship Id="rId44"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zeus.sii.cl/dii_doc/carpeta_tributaria/html/index.htm"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zeus.sii.cl/dii_doc/carpeta_tributaria/html/index.htm" TargetMode="External"/><Relationship Id="rId46" Type="http://schemas.microsoft.com/office/2011/relationships/people" Target="people.xml"/><Relationship Id="rId20" Type="http://schemas.openxmlformats.org/officeDocument/2006/relationships/hyperlink" Target="http://www.sercotec.cl"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E4C4D3F-68C7-4857-97A9-E2198C61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62</Pages>
  <Words>20905</Words>
  <Characters>114982</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135616</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36</cp:revision>
  <cp:lastPrinted>2024-04-17T02:07:00Z</cp:lastPrinted>
  <dcterms:created xsi:type="dcterms:W3CDTF">2024-04-11T16:14:00Z</dcterms:created>
  <dcterms:modified xsi:type="dcterms:W3CDTF">2024-04-17T02:08:00Z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