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60201094"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2047AF">
        <w:rPr>
          <w:rFonts w:ascii="Calibri" w:hAnsi="Calibri" w:cs="Calibri"/>
          <w:b/>
          <w:bCs/>
          <w:sz w:val="40"/>
          <w:szCs w:val="40"/>
        </w:rPr>
        <w:t>DE ATACAMA</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5B4BB1" w:rsidRPr="006C5DA3" w14:paraId="21633966" w14:textId="77777777" w:rsidTr="00A77740">
        <w:trPr>
          <w:trHeight w:val="283"/>
          <w:jc w:val="center"/>
        </w:trPr>
        <w:tc>
          <w:tcPr>
            <w:tcW w:w="0" w:type="auto"/>
          </w:tcPr>
          <w:p w14:paraId="69B7F09D" w14:textId="65210466" w:rsidR="005B4BB1" w:rsidRPr="006C5DA3" w:rsidRDefault="005B4BB1" w:rsidP="005B4BB1">
            <w:pPr>
              <w:spacing w:after="0"/>
              <w:rPr>
                <w:rFonts w:ascii="Calibri" w:hAnsi="Calibri" w:cs="Calibri"/>
              </w:rPr>
            </w:pPr>
            <w:r w:rsidRPr="006C5DA3">
              <w:rPr>
                <w:rFonts w:ascii="Calibri" w:hAnsi="Calibri" w:cs="Calibri"/>
              </w:rPr>
              <w:t>Inicio Postulación</w:t>
            </w:r>
          </w:p>
        </w:tc>
        <w:tc>
          <w:tcPr>
            <w:tcW w:w="0" w:type="auto"/>
          </w:tcPr>
          <w:p w14:paraId="5096B1EB" w14:textId="3EB2B2FE" w:rsidR="005B4BB1" w:rsidRPr="006C5DA3" w:rsidRDefault="005B4BB1" w:rsidP="005B4BB1">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007434AD" w:rsidR="005B4BB1" w:rsidRPr="006C5DA3" w:rsidRDefault="005B4BB1" w:rsidP="005B4BB1">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27931E08" w:rsidR="005B4BB1" w:rsidRPr="006C5DA3" w:rsidRDefault="005B4BB1" w:rsidP="005B4BB1">
            <w:pPr>
              <w:spacing w:after="0"/>
              <w:jc w:val="center"/>
              <w:rPr>
                <w:rFonts w:ascii="Calibri" w:hAnsi="Calibri" w:cs="Calibri"/>
              </w:rPr>
            </w:pPr>
            <w:r w:rsidRPr="006C5DA3">
              <w:rPr>
                <w:rFonts w:ascii="Calibri" w:hAnsi="Calibri" w:cs="Calibri"/>
              </w:rPr>
              <w:t>12:00 hrs.</w:t>
            </w:r>
          </w:p>
        </w:tc>
      </w:tr>
      <w:tr w:rsidR="005B4BB1" w:rsidRPr="006C5DA3" w14:paraId="0B272809" w14:textId="77777777" w:rsidTr="00A77740">
        <w:trPr>
          <w:trHeight w:val="283"/>
          <w:jc w:val="center"/>
        </w:trPr>
        <w:tc>
          <w:tcPr>
            <w:tcW w:w="0" w:type="auto"/>
          </w:tcPr>
          <w:p w14:paraId="769DB74C" w14:textId="13F55CAD" w:rsidR="005B4BB1" w:rsidRPr="006C5DA3" w:rsidRDefault="005B4BB1" w:rsidP="005B4BB1">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46F114F1" w:rsidR="005B4BB1" w:rsidRPr="006C5DA3" w:rsidRDefault="005B4BB1" w:rsidP="005B4BB1">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59BF1278" w:rsidR="005B4BB1" w:rsidRPr="006C5DA3" w:rsidRDefault="005B4BB1" w:rsidP="005B4BB1">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7D3582E4" w:rsidR="005B4BB1" w:rsidRPr="006C5DA3" w:rsidRDefault="005B4BB1" w:rsidP="005B4BB1">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de acuerdo a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de acuerdo a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muestra potencialidad de mejorar las condiciones de trabajo (baños, calidad de los puestos, infraestructura, espacios de cuidados para niños y niñas),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La evaluación de las postulaciones que pasen a esta etapa será realizada por el Comité de Evaluación Regional (CER), de acuerdo a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en razón del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socios y socias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Bajo esta modalidad, el AOS y la organización, deberán participar en forma conjunta en la compra. Para compras bajo esta modalidad, el monto de las mismas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Se debe tener presente que, una vez finalizada la ejecución del proyecto, Sercotec solicitará al Agente Operador (AOS) la elaboración de un informe de cierre del proyecto, considerando evidencia fotográfica de la ejecución del mismo.</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escrito, </w:t>
      </w:r>
      <w:r w:rsidRPr="006C5DA3">
        <w:rPr>
          <w:rFonts w:ascii="Calibri" w:hAnsi="Calibri" w:cs="Calibri"/>
        </w:rPr>
        <w:t xml:space="preserve"> dirigida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20CCFD4F"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906DB2">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5B4BB1"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5B4BB1"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5B4BB1"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5B4BB1"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5B4BB1"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5B4BB1"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5B4BB1"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5B4BB1"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5B4BB1"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5B4BB1"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5B4BB1"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5B4BB1"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5B4BB1"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5B4BB1"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5B4BB1"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5B4BB1"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5B4BB1"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5B4BB1"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5B4BB1"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5B4BB1"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5B4BB1"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5B4BB1"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5B4BB1"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LISTADO DE SOCIOS Y SOCIAS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dado que tienen el RUT ante SII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El proyecto muestra potencialidad de mejorar las condiciones de trabajo (baños, calidad de los puestos, infraestructura, espacios de cuidados para niños y niñas),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47A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BB1"/>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06DB2"/>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14648</Words>
  <Characters>80568</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