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38C96DBB" w14:textId="77777777" w:rsidR="0075021C" w:rsidRDefault="0075021C" w:rsidP="00F24063">
      <w:pPr>
        <w:jc w:val="center"/>
        <w:rPr>
          <w:rFonts w:eastAsia="Arial Unicode MS" w:cs="Arial"/>
          <w:b/>
          <w:bCs/>
          <w:sz w:val="40"/>
          <w:szCs w:val="40"/>
        </w:rPr>
      </w:pPr>
    </w:p>
    <w:p w14:paraId="620BFFA6" w14:textId="0ACB6AB6"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B32F142" w:rsidR="00F344ED" w:rsidRDefault="00F344ED" w:rsidP="000B5281">
      <w:pPr>
        <w:jc w:val="center"/>
        <w:rPr>
          <w:rFonts w:asciiTheme="minorHAnsi" w:eastAsia="Arial Unicode MS" w:hAnsiTheme="minorHAnsi" w:cs="Arial"/>
          <w:b/>
          <w:bCs/>
          <w:noProof/>
          <w:szCs w:val="22"/>
        </w:rPr>
      </w:pPr>
    </w:p>
    <w:p w14:paraId="3C5E27D3" w14:textId="29398A94" w:rsidR="0075021C" w:rsidRDefault="0075021C" w:rsidP="000B5281">
      <w:pPr>
        <w:jc w:val="center"/>
        <w:rPr>
          <w:rFonts w:asciiTheme="minorHAnsi" w:eastAsia="Arial Unicode MS" w:hAnsiTheme="minorHAnsi" w:cs="Arial"/>
          <w:b/>
          <w:bCs/>
          <w:noProof/>
          <w:szCs w:val="22"/>
        </w:rPr>
      </w:pPr>
    </w:p>
    <w:p w14:paraId="1F861B09" w14:textId="54EF1ED1" w:rsidR="0075021C" w:rsidRDefault="0075021C" w:rsidP="000B5281">
      <w:pPr>
        <w:jc w:val="center"/>
        <w:rPr>
          <w:rFonts w:asciiTheme="minorHAnsi" w:eastAsia="Arial Unicode MS" w:hAnsiTheme="minorHAnsi" w:cs="Arial"/>
          <w:b/>
          <w:bCs/>
          <w:noProof/>
          <w:szCs w:val="22"/>
        </w:rPr>
      </w:pPr>
    </w:p>
    <w:p w14:paraId="2257E3D6" w14:textId="3BBBBBFF" w:rsidR="0075021C" w:rsidRDefault="0075021C"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1C97EDE9" w14:textId="3DEA11D1" w:rsidR="0075021C" w:rsidRDefault="0075021C" w:rsidP="0005293D">
      <w:pPr>
        <w:jc w:val="center"/>
        <w:rPr>
          <w:rFonts w:eastAsia="Arial Unicode MS" w:cs="Arial"/>
          <w:b/>
          <w:bCs/>
          <w:sz w:val="44"/>
          <w:szCs w:val="40"/>
        </w:rPr>
      </w:pPr>
    </w:p>
    <w:p w14:paraId="6D6A03F3" w14:textId="77777777" w:rsidR="0075021C" w:rsidRDefault="0075021C" w:rsidP="0005293D">
      <w:pPr>
        <w:jc w:val="center"/>
        <w:rPr>
          <w:rFonts w:eastAsia="Arial Unicode MS" w:cs="Arial"/>
          <w:b/>
          <w:bCs/>
          <w:sz w:val="44"/>
          <w:szCs w:val="40"/>
        </w:rPr>
      </w:pPr>
    </w:p>
    <w:p w14:paraId="676DFB2A" w14:textId="2DCEB106"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E2CE988"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393EC0" w:rsidRPr="00393EC0">
        <w:rPr>
          <w:rFonts w:eastAsia="Arial Unicode MS" w:cs="Arial"/>
          <w:b/>
          <w:bCs/>
          <w:sz w:val="40"/>
          <w:szCs w:val="40"/>
        </w:rPr>
        <w:t>MULTISECTORIAL</w:t>
      </w:r>
      <w:r w:rsidRPr="00393EC0">
        <w:rPr>
          <w:rFonts w:eastAsia="Arial Unicode MS" w:cs="Arial"/>
          <w:b/>
          <w:bCs/>
          <w:sz w:val="40"/>
          <w:szCs w:val="40"/>
        </w:rPr>
        <w:t>”</w:t>
      </w:r>
    </w:p>
    <w:p w14:paraId="3FDEDA60" w14:textId="7C708669" w:rsidR="00F24063" w:rsidRDefault="00F24063" w:rsidP="00F24063">
      <w:pPr>
        <w:jc w:val="center"/>
        <w:rPr>
          <w:rFonts w:eastAsia="Arial Unicode MS" w:cs="Arial"/>
          <w:b/>
          <w:bCs/>
          <w:sz w:val="40"/>
          <w:szCs w:val="40"/>
        </w:rPr>
      </w:pPr>
    </w:p>
    <w:p w14:paraId="03E15E83" w14:textId="349183A2" w:rsidR="0075021C" w:rsidRDefault="0075021C" w:rsidP="00F24063">
      <w:pPr>
        <w:jc w:val="center"/>
        <w:rPr>
          <w:rFonts w:eastAsia="Arial Unicode MS" w:cs="Arial"/>
          <w:b/>
          <w:bCs/>
          <w:sz w:val="40"/>
          <w:szCs w:val="40"/>
        </w:rPr>
      </w:pPr>
    </w:p>
    <w:p w14:paraId="4D739EAA" w14:textId="298BE6D9" w:rsidR="0075021C" w:rsidRDefault="0075021C" w:rsidP="00F24063">
      <w:pPr>
        <w:jc w:val="center"/>
        <w:rPr>
          <w:rFonts w:eastAsia="Arial Unicode MS" w:cs="Arial"/>
          <w:b/>
          <w:bCs/>
          <w:sz w:val="40"/>
          <w:szCs w:val="40"/>
        </w:rPr>
      </w:pPr>
    </w:p>
    <w:p w14:paraId="76E67B11" w14:textId="2A7BAB78" w:rsidR="0075021C" w:rsidRDefault="0075021C" w:rsidP="00F24063">
      <w:pPr>
        <w:jc w:val="center"/>
        <w:rPr>
          <w:rFonts w:eastAsia="Arial Unicode MS" w:cs="Arial"/>
          <w:b/>
          <w:bCs/>
          <w:sz w:val="40"/>
          <w:szCs w:val="40"/>
        </w:rPr>
      </w:pPr>
    </w:p>
    <w:p w14:paraId="4EF87BBD" w14:textId="3BA6780B" w:rsidR="0075021C" w:rsidRDefault="0075021C" w:rsidP="00F24063">
      <w:pPr>
        <w:jc w:val="center"/>
        <w:rPr>
          <w:rFonts w:eastAsia="Arial Unicode MS" w:cs="Arial"/>
          <w:b/>
          <w:bCs/>
          <w:sz w:val="40"/>
          <w:szCs w:val="40"/>
        </w:rPr>
      </w:pPr>
    </w:p>
    <w:p w14:paraId="7C580C4B" w14:textId="77777777" w:rsidR="0075021C" w:rsidRPr="00393EC0" w:rsidRDefault="0075021C" w:rsidP="00F24063">
      <w:pPr>
        <w:jc w:val="center"/>
        <w:rPr>
          <w:rFonts w:eastAsia="Arial Unicode MS" w:cs="Arial"/>
          <w:b/>
          <w:bCs/>
          <w:sz w:val="40"/>
          <w:szCs w:val="40"/>
        </w:rPr>
      </w:pPr>
    </w:p>
    <w:p w14:paraId="636C6D10" w14:textId="1BED20E3"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15426B">
        <w:rPr>
          <w:rFonts w:eastAsia="Arial Unicode MS" w:cs="Arial"/>
          <w:b/>
          <w:bCs/>
          <w:sz w:val="40"/>
          <w:szCs w:val="40"/>
        </w:rPr>
        <w:t>ATACAMA</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1D55EC85"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272BC7">
              <w:rPr>
                <w:webHidden/>
              </w:rPr>
              <w:t>3</w:t>
            </w:r>
            <w:r w:rsidR="00137ECD">
              <w:rPr>
                <w:webHidden/>
              </w:rPr>
              <w:fldChar w:fldCharType="end"/>
            </w:r>
          </w:hyperlink>
        </w:p>
        <w:p w14:paraId="55CAEF35" w14:textId="16132876" w:rsidR="00137ECD" w:rsidRDefault="00272BC7">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Pr>
                <w:webHidden/>
              </w:rPr>
              <w:t>3</w:t>
            </w:r>
            <w:r w:rsidR="00137ECD">
              <w:rPr>
                <w:webHidden/>
              </w:rPr>
              <w:fldChar w:fldCharType="end"/>
            </w:r>
          </w:hyperlink>
        </w:p>
        <w:p w14:paraId="65479E64" w14:textId="480B919C" w:rsidR="00137ECD" w:rsidRDefault="00272BC7">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Pr>
                <w:webHidden/>
              </w:rPr>
              <w:t>3</w:t>
            </w:r>
            <w:r w:rsidR="00137ECD">
              <w:rPr>
                <w:webHidden/>
              </w:rPr>
              <w:fldChar w:fldCharType="end"/>
            </w:r>
          </w:hyperlink>
        </w:p>
        <w:p w14:paraId="07944FE1" w14:textId="1FB1792A" w:rsidR="00137ECD" w:rsidRDefault="00272BC7">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Pr>
                <w:webHidden/>
              </w:rPr>
              <w:t>4</w:t>
            </w:r>
            <w:r w:rsidR="00137ECD">
              <w:rPr>
                <w:webHidden/>
              </w:rPr>
              <w:fldChar w:fldCharType="end"/>
            </w:r>
          </w:hyperlink>
        </w:p>
        <w:p w14:paraId="5FC90D47" w14:textId="745EAEB9" w:rsidR="00137ECD" w:rsidRDefault="00272BC7">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Pr>
                <w:webHidden/>
              </w:rPr>
              <w:t>5</w:t>
            </w:r>
            <w:r w:rsidR="00137ECD">
              <w:rPr>
                <w:webHidden/>
              </w:rPr>
              <w:fldChar w:fldCharType="end"/>
            </w:r>
          </w:hyperlink>
        </w:p>
        <w:p w14:paraId="3F0F52E1" w14:textId="186180F8" w:rsidR="00137ECD" w:rsidRDefault="00272BC7">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Pr>
                <w:webHidden/>
              </w:rPr>
              <w:t>5</w:t>
            </w:r>
            <w:r w:rsidR="00137ECD">
              <w:rPr>
                <w:webHidden/>
              </w:rPr>
              <w:fldChar w:fldCharType="end"/>
            </w:r>
          </w:hyperlink>
        </w:p>
        <w:p w14:paraId="49EB65C4" w14:textId="02078821" w:rsidR="00137ECD" w:rsidRDefault="00272BC7">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Pr>
                <w:webHidden/>
              </w:rPr>
              <w:t>8</w:t>
            </w:r>
            <w:r w:rsidR="00137ECD">
              <w:rPr>
                <w:webHidden/>
              </w:rPr>
              <w:fldChar w:fldCharType="end"/>
            </w:r>
          </w:hyperlink>
        </w:p>
        <w:p w14:paraId="66ABFCD9" w14:textId="3017CBBB" w:rsidR="00137ECD" w:rsidRDefault="00272BC7">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Pr>
                <w:webHidden/>
              </w:rPr>
              <w:t>10</w:t>
            </w:r>
            <w:r w:rsidR="00137ECD">
              <w:rPr>
                <w:webHidden/>
              </w:rPr>
              <w:fldChar w:fldCharType="end"/>
            </w:r>
          </w:hyperlink>
        </w:p>
        <w:p w14:paraId="6F0FF934" w14:textId="51B3AEB9" w:rsidR="00137ECD" w:rsidRDefault="00272BC7">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Pr>
                <w:webHidden/>
              </w:rPr>
              <w:t>11</w:t>
            </w:r>
            <w:r w:rsidR="00137ECD">
              <w:rPr>
                <w:webHidden/>
              </w:rPr>
              <w:fldChar w:fldCharType="end"/>
            </w:r>
          </w:hyperlink>
        </w:p>
        <w:p w14:paraId="52D84111" w14:textId="1F751408" w:rsidR="00137ECD" w:rsidRDefault="00272BC7">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Pr>
                <w:webHidden/>
              </w:rPr>
              <w:t>11</w:t>
            </w:r>
            <w:r w:rsidR="00137ECD">
              <w:rPr>
                <w:webHidden/>
              </w:rPr>
              <w:fldChar w:fldCharType="end"/>
            </w:r>
          </w:hyperlink>
        </w:p>
        <w:p w14:paraId="4D4508B5" w14:textId="110AA01A" w:rsidR="00137ECD" w:rsidRDefault="00272BC7">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Pr>
                <w:webHidden/>
              </w:rPr>
              <w:t>12</w:t>
            </w:r>
            <w:r w:rsidR="00137ECD">
              <w:rPr>
                <w:webHidden/>
              </w:rPr>
              <w:fldChar w:fldCharType="end"/>
            </w:r>
          </w:hyperlink>
        </w:p>
        <w:p w14:paraId="6C6BF84B" w14:textId="7EEBD6AA" w:rsidR="00137ECD" w:rsidRDefault="00272BC7">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Pr>
                <w:webHidden/>
              </w:rPr>
              <w:t>15</w:t>
            </w:r>
            <w:r w:rsidR="00137ECD">
              <w:rPr>
                <w:webHidden/>
              </w:rPr>
              <w:fldChar w:fldCharType="end"/>
            </w:r>
          </w:hyperlink>
        </w:p>
        <w:p w14:paraId="05214EB5" w14:textId="1A5C405C" w:rsidR="00137ECD" w:rsidRDefault="00272BC7">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Pr>
                <w:webHidden/>
              </w:rPr>
              <w:t>16</w:t>
            </w:r>
            <w:r w:rsidR="00137ECD">
              <w:rPr>
                <w:webHidden/>
              </w:rPr>
              <w:fldChar w:fldCharType="end"/>
            </w:r>
          </w:hyperlink>
        </w:p>
        <w:p w14:paraId="69D53A29" w14:textId="739C0A6B" w:rsidR="00137ECD" w:rsidRDefault="00272BC7">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Pr>
                <w:webHidden/>
              </w:rPr>
              <w:t>16</w:t>
            </w:r>
            <w:r w:rsidR="00137ECD">
              <w:rPr>
                <w:webHidden/>
              </w:rPr>
              <w:fldChar w:fldCharType="end"/>
            </w:r>
          </w:hyperlink>
        </w:p>
        <w:p w14:paraId="342530E1" w14:textId="2F934F36" w:rsidR="00137ECD" w:rsidRDefault="00272BC7">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Pr>
                <w:webHidden/>
              </w:rPr>
              <w:t>16</w:t>
            </w:r>
            <w:r w:rsidR="00137ECD">
              <w:rPr>
                <w:webHidden/>
              </w:rPr>
              <w:fldChar w:fldCharType="end"/>
            </w:r>
          </w:hyperlink>
        </w:p>
        <w:p w14:paraId="11D0F67E" w14:textId="16293FF8" w:rsidR="00137ECD" w:rsidRDefault="00272BC7">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Pr>
                <w:webHidden/>
              </w:rPr>
              <w:t>18</w:t>
            </w:r>
            <w:r w:rsidR="00137ECD">
              <w:rPr>
                <w:webHidden/>
              </w:rPr>
              <w:fldChar w:fldCharType="end"/>
            </w:r>
          </w:hyperlink>
        </w:p>
        <w:p w14:paraId="188CEF95" w14:textId="3FF03BD2" w:rsidR="00137ECD" w:rsidRDefault="00272BC7">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Pr>
                <w:webHidden/>
              </w:rPr>
              <w:t>18</w:t>
            </w:r>
            <w:r w:rsidR="00137ECD">
              <w:rPr>
                <w:webHidden/>
              </w:rPr>
              <w:fldChar w:fldCharType="end"/>
            </w:r>
          </w:hyperlink>
        </w:p>
        <w:p w14:paraId="71CFD642" w14:textId="225F8258" w:rsidR="00137ECD" w:rsidRDefault="00272BC7">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Pr>
                <w:webHidden/>
              </w:rPr>
              <w:t>18</w:t>
            </w:r>
            <w:r w:rsidR="00137ECD">
              <w:rPr>
                <w:webHidden/>
              </w:rPr>
              <w:fldChar w:fldCharType="end"/>
            </w:r>
          </w:hyperlink>
        </w:p>
        <w:p w14:paraId="4D5B857B" w14:textId="4B67967B" w:rsidR="00137ECD" w:rsidRDefault="00272BC7">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Pr>
                <w:webHidden/>
              </w:rPr>
              <w:t>19</w:t>
            </w:r>
            <w:r w:rsidR="00137ECD">
              <w:rPr>
                <w:webHidden/>
              </w:rPr>
              <w:fldChar w:fldCharType="end"/>
            </w:r>
          </w:hyperlink>
        </w:p>
        <w:p w14:paraId="4B1CA1EA" w14:textId="30A2E6FA" w:rsidR="00137ECD" w:rsidRDefault="00272BC7">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Pr>
                <w:webHidden/>
              </w:rPr>
              <w:t>21</w:t>
            </w:r>
            <w:r w:rsidR="00137ECD">
              <w:rPr>
                <w:webHidden/>
              </w:rPr>
              <w:fldChar w:fldCharType="end"/>
            </w:r>
          </w:hyperlink>
        </w:p>
        <w:p w14:paraId="247C6CDE" w14:textId="7EE2AF04" w:rsidR="00137ECD" w:rsidRDefault="00272BC7">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Pr>
                <w:webHidden/>
              </w:rPr>
              <w:t>23</w:t>
            </w:r>
            <w:r w:rsidR="00137ECD">
              <w:rPr>
                <w:webHidden/>
              </w:rPr>
              <w:fldChar w:fldCharType="end"/>
            </w:r>
          </w:hyperlink>
        </w:p>
        <w:p w14:paraId="546958D7" w14:textId="7F20849A" w:rsidR="00137ECD" w:rsidRDefault="00272BC7">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Pr>
                <w:webHidden/>
              </w:rPr>
              <w:t>24</w:t>
            </w:r>
            <w:r w:rsidR="00137ECD">
              <w:rPr>
                <w:webHidden/>
              </w:rPr>
              <w:fldChar w:fldCharType="end"/>
            </w:r>
          </w:hyperlink>
        </w:p>
        <w:p w14:paraId="688201ED" w14:textId="220CF584" w:rsidR="00137ECD" w:rsidRDefault="00272BC7">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Pr>
                <w:webHidden/>
              </w:rPr>
              <w:t>24</w:t>
            </w:r>
            <w:r w:rsidR="00137ECD">
              <w:rPr>
                <w:webHidden/>
              </w:rPr>
              <w:fldChar w:fldCharType="end"/>
            </w:r>
          </w:hyperlink>
        </w:p>
        <w:p w14:paraId="5E90C86C" w14:textId="601F7ACC" w:rsidR="00137ECD" w:rsidRDefault="00272BC7">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Pr>
                <w:webHidden/>
              </w:rPr>
              <w:t>27</w:t>
            </w:r>
            <w:r w:rsidR="00137ECD">
              <w:rPr>
                <w:webHidden/>
              </w:rPr>
              <w:fldChar w:fldCharType="end"/>
            </w:r>
          </w:hyperlink>
        </w:p>
        <w:p w14:paraId="7365C394" w14:textId="275FC7ED" w:rsidR="00137ECD" w:rsidRDefault="00272BC7">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Pr>
                <w:webHidden/>
              </w:rPr>
              <w:t>30</w:t>
            </w:r>
            <w:r w:rsidR="00137ECD">
              <w:rPr>
                <w:webHidden/>
              </w:rPr>
              <w:fldChar w:fldCharType="end"/>
            </w:r>
          </w:hyperlink>
        </w:p>
        <w:p w14:paraId="6684C6DC" w14:textId="3F9294AF" w:rsidR="00137ECD" w:rsidRDefault="00272BC7"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Pr>
                <w:webHidden/>
              </w:rPr>
              <w:t>32</w:t>
            </w:r>
            <w:r w:rsidR="00137ECD">
              <w:rPr>
                <w:webHidden/>
              </w:rPr>
              <w:fldChar w:fldCharType="end"/>
            </w:r>
          </w:hyperlink>
        </w:p>
        <w:p w14:paraId="0ECDCAEE" w14:textId="5102401F" w:rsidR="00137ECD" w:rsidRDefault="00272BC7">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Pr>
                <w:webHidden/>
              </w:rPr>
              <w:t>37</w:t>
            </w:r>
            <w:r w:rsidR="00137ECD">
              <w:rPr>
                <w:webHidden/>
              </w:rPr>
              <w:fldChar w:fldCharType="end"/>
            </w:r>
          </w:hyperlink>
        </w:p>
        <w:p w14:paraId="07EEBA3F" w14:textId="0DA615FB" w:rsidR="00137ECD" w:rsidRDefault="00272BC7">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Pr>
                <w:webHidden/>
              </w:rPr>
              <w:t>45</w:t>
            </w:r>
            <w:r w:rsidR="00137ECD">
              <w:rPr>
                <w:webHidden/>
              </w:rPr>
              <w:fldChar w:fldCharType="end"/>
            </w:r>
          </w:hyperlink>
        </w:p>
        <w:p w14:paraId="7BF2ABF3" w14:textId="775F4D98" w:rsidR="00137ECD" w:rsidRPr="00137ECD" w:rsidRDefault="00272BC7"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Pr>
                <w:webHidden/>
              </w:rPr>
              <w:t>46</w:t>
            </w:r>
            <w:r w:rsidR="00137ECD">
              <w:rPr>
                <w:webHidden/>
              </w:rPr>
              <w:fldChar w:fldCharType="end"/>
            </w:r>
          </w:hyperlink>
        </w:p>
        <w:p w14:paraId="27BB818A" w14:textId="4D925528" w:rsidR="00137ECD" w:rsidRDefault="00272BC7">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Pr>
                <w:webHidden/>
              </w:rPr>
              <w:t>48</w:t>
            </w:r>
            <w:r w:rsidR="00137ECD">
              <w:rPr>
                <w:webHidden/>
              </w:rPr>
              <w:fldChar w:fldCharType="end"/>
            </w:r>
          </w:hyperlink>
        </w:p>
        <w:p w14:paraId="5F655323" w14:textId="183EE7F9" w:rsidR="00137ECD" w:rsidRDefault="00272BC7">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Pr>
                <w:webHidden/>
              </w:rPr>
              <w:t>54</w:t>
            </w:r>
            <w:r w:rsidR="00137ECD">
              <w:rPr>
                <w:webHidden/>
              </w:rPr>
              <w:fldChar w:fldCharType="end"/>
            </w:r>
          </w:hyperlink>
        </w:p>
        <w:p w14:paraId="4D3354E8" w14:textId="3B8591F5" w:rsidR="00137ECD" w:rsidRDefault="00272BC7">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Pr>
                <w:webHidden/>
              </w:rPr>
              <w:t>55</w:t>
            </w:r>
            <w:r w:rsidR="00137ECD">
              <w:rPr>
                <w:webHidden/>
              </w:rPr>
              <w:fldChar w:fldCharType="end"/>
            </w:r>
          </w:hyperlink>
        </w:p>
        <w:p w14:paraId="51454E0B" w14:textId="149AAFFE"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FB168D">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proofErr w:type="gramStart"/>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A1149C">
            <w:rPr>
              <w:rFonts w:asciiTheme="minorHAnsi" w:hAnsiTheme="minorHAnsi" w:cstheme="minorHAnsi"/>
              <w:b/>
              <w:bCs/>
              <w:iCs/>
              <w:sz w:val="19"/>
              <w:szCs w:val="19"/>
              <w:lang w:val="es-CL"/>
            </w:rPr>
            <w:t>8</w:t>
          </w:r>
        </w:p>
        <w:p w14:paraId="39AFF723" w14:textId="484D9B72" w:rsidR="007D3BB3" w:rsidRPr="00B93A85" w:rsidRDefault="00272BC7">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4D03EB83"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236087E" w14:textId="322E2051" w:rsidR="00255771" w:rsidRPr="00F3496B" w:rsidRDefault="00F3496B" w:rsidP="004C2D55">
      <w:pPr>
        <w:jc w:val="both"/>
        <w:rPr>
          <w:rFonts w:eastAsia="Arial Unicode MS" w:cs="Arial"/>
          <w:szCs w:val="22"/>
        </w:rPr>
      </w:pPr>
      <w:r w:rsidRPr="00F3496B">
        <w:rPr>
          <w:rFonts w:eastAsia="Arial Unicode MS" w:cs="Arial"/>
          <w:szCs w:val="22"/>
        </w:rPr>
        <w:t xml:space="preserve">La presente convocatoria está dirigida a micro y pequeñas empresas, personas naturales y jurídicas de la Región de </w:t>
      </w:r>
      <w:r w:rsidR="0015426B">
        <w:rPr>
          <w:rFonts w:eastAsia="Arial Unicode MS" w:cs="Arial"/>
          <w:szCs w:val="22"/>
        </w:rPr>
        <w:t>Atacama</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9D3800">
        <w:rPr>
          <w:rFonts w:eastAsia="Arial Unicode MS" w:cs="Arial"/>
          <w:szCs w:val="22"/>
        </w:rPr>
        <w:t>.</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lastRenderedPageBreak/>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0D66B189"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Región de </w:t>
      </w:r>
      <w:r w:rsidR="0015426B">
        <w:rPr>
          <w:rFonts w:eastAsia="Arial Unicode MS" w:cs="Arial"/>
          <w:color w:val="000000"/>
          <w:szCs w:val="22"/>
          <w:lang w:val="es-CL"/>
        </w:rPr>
        <w:t>Atacama</w:t>
      </w:r>
      <w:r w:rsidR="004E6C2A">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0FE16957" w:rsidR="00A31C09" w:rsidRPr="00EF359D" w:rsidRDefault="00734773" w:rsidP="00A31C09">
      <w:pPr>
        <w:numPr>
          <w:ilvl w:val="0"/>
          <w:numId w:val="2"/>
        </w:numPr>
        <w:jc w:val="both"/>
        <w:rPr>
          <w:rFonts w:eastAsia="Arial Unicode MS" w:cs="Arial"/>
          <w:color w:val="000000"/>
          <w:szCs w:val="22"/>
          <w:lang w:val="es-CL"/>
        </w:rPr>
      </w:pPr>
      <w:r w:rsidRPr="00734773">
        <w:rPr>
          <w:rFonts w:eastAsia="Arial Unicode MS" w:cs="Arial"/>
          <w:color w:val="000000"/>
          <w:szCs w:val="22"/>
        </w:rPr>
        <w:t>No haber sido beneficiado del instrumento Crece año 2022 y 2023; Digitaliza tu Almacén años 2022 y 2023 y Recupera Turismo, Recupera Tu Pyme y cualquier Convocatoria Recupera año 2022, cualquier fuente de financiamiento.</w:t>
      </w:r>
      <w:r>
        <w:rPr>
          <w:rFonts w:eastAsia="Arial Unicode MS" w:cs="Arial"/>
          <w:color w:val="000000"/>
          <w:szCs w:val="22"/>
        </w:rPr>
        <w:t xml:space="preserve"> </w:t>
      </w:r>
      <w:proofErr w:type="spellStart"/>
      <w:r w:rsidR="00A31C09" w:rsidRPr="00CB1448">
        <w:rPr>
          <w:rFonts w:eastAsia="Arial Unicode MS" w:cs="Arial"/>
          <w:color w:val="000000"/>
          <w:szCs w:val="22"/>
          <w:lang w:val="es-CL"/>
        </w:rPr>
        <w:t>Sercotec</w:t>
      </w:r>
      <w:proofErr w:type="spellEnd"/>
      <w:r w:rsidR="00A31C09" w:rsidRPr="00CB1448">
        <w:rPr>
          <w:rFonts w:eastAsia="Arial Unicode MS" w:cs="Arial"/>
          <w:color w:val="000000"/>
          <w:szCs w:val="22"/>
          <w:lang w:val="es-CL"/>
        </w:rPr>
        <w:t xml:space="preserve"> validará </w:t>
      </w:r>
      <w:r w:rsidR="00A31C09">
        <w:rPr>
          <w:rFonts w:eastAsia="Arial Unicode MS" w:cs="Arial"/>
          <w:color w:val="000000"/>
          <w:szCs w:val="22"/>
          <w:lang w:val="es-CL"/>
        </w:rPr>
        <w:t xml:space="preserve">nuevamente </w:t>
      </w:r>
      <w:r w:rsidR="00A31C09"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2412BCBD" w:rsidR="00475439" w:rsidRPr="009562EE" w:rsidRDefault="00D62A65" w:rsidP="00034A3A">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297740B3" w14:textId="05812BBD"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Región de </w:t>
      </w:r>
      <w:r w:rsidR="0015426B">
        <w:rPr>
          <w:rFonts w:eastAsia="Arial Unicode MS" w:cs="Arial"/>
          <w:color w:val="000000"/>
          <w:szCs w:val="22"/>
        </w:rPr>
        <w:t>Atacama</w:t>
      </w:r>
      <w:r w:rsidRPr="00C36F35">
        <w:rPr>
          <w:rFonts w:eastAsia="Arial Unicode MS" w:cs="Arial"/>
          <w:color w:val="000000"/>
          <w:szCs w:val="22"/>
        </w:rPr>
        <w:t>. No se evaluarán a aquellas empresas que no cumplan con esta condición.</w:t>
      </w:r>
    </w:p>
    <w:p w14:paraId="1713A9C1" w14:textId="65E72CB0" w:rsidR="00C36F35" w:rsidRPr="00CF2ACD"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w:t>
      </w:r>
      <w:proofErr w:type="spellStart"/>
      <w:r w:rsidR="00C36F35" w:rsidRPr="00C36F35">
        <w:rPr>
          <w:rFonts w:eastAsia="Arial Unicode MS" w:cs="Arial"/>
          <w:color w:val="000000"/>
          <w:szCs w:val="22"/>
          <w:lang w:val="es-CL"/>
        </w:rPr>
        <w:t>Sercotec</w:t>
      </w:r>
      <w:proofErr w:type="spellEnd"/>
      <w:r w:rsidR="00C36F35" w:rsidRPr="00C36F35">
        <w:rPr>
          <w:rFonts w:eastAsia="Arial Unicode MS" w:cs="Arial"/>
          <w:color w:val="000000"/>
          <w:szCs w:val="22"/>
          <w:lang w:val="es-CL"/>
        </w:rPr>
        <w:t xml:space="preserve"> validará nuevamente esta condición al momento de formalizar.</w:t>
      </w:r>
    </w:p>
    <w:p w14:paraId="70AA4BE1" w14:textId="77777777" w:rsidR="00CF2ACD" w:rsidRPr="00C36F35" w:rsidRDefault="00CF2ACD" w:rsidP="00CF2ACD">
      <w:pPr>
        <w:ind w:left="644"/>
        <w:jc w:val="both"/>
        <w:rPr>
          <w:rFonts w:eastAsia="Arial Unicode MS" w:cs="Arial"/>
          <w:color w:val="000000"/>
          <w:szCs w:val="22"/>
        </w:rPr>
      </w:pP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lastRenderedPageBreak/>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5B343B94" w14:textId="7157B99D" w:rsidR="00B11BFD" w:rsidRPr="00B11BFD" w:rsidRDefault="00B11BFD" w:rsidP="00B11BFD">
      <w:pPr>
        <w:pStyle w:val="Prrafodelista"/>
        <w:numPr>
          <w:ilvl w:val="0"/>
          <w:numId w:val="2"/>
        </w:numPr>
        <w:jc w:val="both"/>
        <w:rPr>
          <w:rFonts w:eastAsia="Arial Unicode MS" w:cs="Arial"/>
          <w:color w:val="000000"/>
          <w:szCs w:val="22"/>
        </w:rPr>
      </w:pPr>
      <w:r w:rsidRPr="00B11BFD">
        <w:rPr>
          <w:rFonts w:eastAsia="Arial Unicode MS" w:cs="Arial"/>
          <w:color w:val="000000"/>
          <w:szCs w:val="22"/>
        </w:rPr>
        <w:t>En el caso de empresas del rub</w:t>
      </w:r>
      <w:r>
        <w:rPr>
          <w:rFonts w:eastAsia="Arial Unicode MS" w:cs="Arial"/>
          <w:color w:val="000000"/>
          <w:szCs w:val="22"/>
        </w:rPr>
        <w:t>ro alimentación, deberán presentar</w:t>
      </w:r>
      <w:r w:rsidRPr="00B11BFD">
        <w:rPr>
          <w:rFonts w:eastAsia="Arial Unicode MS" w:cs="Arial"/>
          <w:color w:val="000000"/>
          <w:szCs w:val="22"/>
        </w:rPr>
        <w:t xml:space="preserve"> la resolución sanitaria que autoriza el desarrollo de la actividad productiva en la dirección comercial del negocio (las empresas pertenecientes al rubro alimentación y que no adjunten la resolución sanitaria, serán declaradas inadmisibles). </w:t>
      </w:r>
    </w:p>
    <w:p w14:paraId="72C9699D" w14:textId="3CEFEBC2" w:rsidR="00B57772" w:rsidRDefault="000F05CA" w:rsidP="00C7415F">
      <w:pPr>
        <w:numPr>
          <w:ilvl w:val="0"/>
          <w:numId w:val="2"/>
        </w:numPr>
        <w:jc w:val="both"/>
        <w:rPr>
          <w:rFonts w:eastAsia="Arial Unicode MS" w:cs="Arial"/>
          <w:color w:val="000000"/>
          <w:szCs w:val="22"/>
        </w:rPr>
      </w:pPr>
      <w:r>
        <w:rPr>
          <w:rFonts w:eastAsia="Arial Unicode MS" w:cs="Arial"/>
          <w:color w:val="000000"/>
          <w:szCs w:val="22"/>
        </w:rPr>
        <w:t xml:space="preserve">El </w:t>
      </w:r>
      <w:r w:rsidR="002265E0">
        <w:rPr>
          <w:rFonts w:eastAsia="Arial Unicode MS" w:cs="Arial"/>
          <w:color w:val="000000"/>
          <w:szCs w:val="22"/>
        </w:rPr>
        <w:t>Proyecto de</w:t>
      </w:r>
      <w:r w:rsidR="00AD417C">
        <w:rPr>
          <w:rFonts w:eastAsia="Arial Unicode MS" w:cs="Arial"/>
          <w:color w:val="000000"/>
          <w:szCs w:val="22"/>
        </w:rPr>
        <w:t xml:space="preserv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34B7499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518DC5BB" w14:textId="7936C07F" w:rsidR="00C36F35" w:rsidRDefault="002D7A5B" w:rsidP="00C36F35">
      <w:pPr>
        <w:numPr>
          <w:ilvl w:val="0"/>
          <w:numId w:val="2"/>
        </w:numPr>
        <w:jc w:val="both"/>
        <w:rPr>
          <w:rFonts w:eastAsia="Arial Unicode MS" w:cs="Arial"/>
          <w:color w:val="000000"/>
          <w:szCs w:val="22"/>
          <w:lang w:val="es-CL"/>
        </w:rPr>
      </w:pPr>
      <w:r w:rsidRPr="002D7A5B">
        <w:rPr>
          <w:rFonts w:eastAsia="Arial Unicode MS" w:cs="Arial"/>
          <w:color w:val="000000"/>
          <w:szCs w:val="22"/>
        </w:rPr>
        <w:t>No haber sido beneficiado del instrumento Crece año 2022 y 2023; Digitaliza tu Almacén años 2022 y 2023 y Recupera Turismo, Recupera Tu Pyme y cualquier Convocatoria Recupera año 2022, cualquier fuente de financiamiento.</w:t>
      </w:r>
      <w:r w:rsidRPr="002D7A5B">
        <w:rPr>
          <w:rFonts w:eastAsia="Arial Unicode MS" w:cs="Arial"/>
          <w:color w:val="000000"/>
          <w:szCs w:val="22"/>
          <w:lang w:val="es-CL"/>
        </w:rPr>
        <w:t xml:space="preserve"> </w:t>
      </w:r>
      <w:r w:rsidR="00C36F35">
        <w:rPr>
          <w:rFonts w:eastAsia="Arial Unicode MS" w:cs="Arial"/>
          <w:color w:val="000000"/>
          <w:szCs w:val="22"/>
          <w:lang w:val="es-CL"/>
        </w:rPr>
        <w:t xml:space="preserve"> </w:t>
      </w:r>
    </w:p>
    <w:p w14:paraId="21FBD0A5" w14:textId="7962EE4C"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w:t>
      </w:r>
      <w:proofErr w:type="spellStart"/>
      <w:r w:rsidRPr="00C36F35">
        <w:rPr>
          <w:rFonts w:eastAsia="Arial Unicode MS" w:cs="Arial"/>
          <w:color w:val="000000"/>
          <w:szCs w:val="22"/>
          <w:lang w:val="es-CL"/>
        </w:rPr>
        <w:t>Sercotec</w:t>
      </w:r>
      <w:proofErr w:type="spellEnd"/>
      <w:r w:rsidRPr="00C36F35">
        <w:rPr>
          <w:rFonts w:eastAsia="Arial Unicode MS" w:cs="Arial"/>
          <w:color w:val="000000"/>
          <w:szCs w:val="22"/>
          <w:lang w:val="es-CL"/>
        </w:rPr>
        <w:t xml:space="preserve">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lastRenderedPageBreak/>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lastRenderedPageBreak/>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 xml:space="preserve">comprende el gasto en aquellos bienes directos de la naturaleza o semielaborados que resultan indispensables </w:t>
            </w:r>
            <w:r w:rsidRPr="00B93A85">
              <w:rPr>
                <w:rFonts w:eastAsia="Arial Unicode MS" w:cs="Arial"/>
                <w:bCs/>
                <w:snapToGrid w:val="0"/>
                <w:sz w:val="20"/>
                <w:szCs w:val="20"/>
              </w:rPr>
              <w:lastRenderedPageBreak/>
              <w:t>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4BA19D0C"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7C5BB6">
        <w:rPr>
          <w:rFonts w:eastAsia="Arial Unicode MS"/>
          <w:b/>
          <w:lang w:val="es-CL"/>
        </w:rPr>
        <w:t>8</w:t>
      </w:r>
      <w:r w:rsidR="00D82F22">
        <w:rPr>
          <w:rFonts w:eastAsia="Arial Unicode MS"/>
          <w:lang w:val="es-CL"/>
        </w:rPr>
        <w:t xml:space="preserve"> </w:t>
      </w:r>
      <w:r w:rsidR="00875C03">
        <w:rPr>
          <w:rFonts w:eastAsia="Arial Unicode MS"/>
          <w:lang w:val="es-CL"/>
        </w:rPr>
        <w:t>“</w:t>
      </w:r>
      <w:r w:rsidR="007C5BB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037F9BD1" w14:textId="3AC4C886" w:rsidR="009D6DD3" w:rsidRDefault="009D6DD3" w:rsidP="00272BC7">
      <w:pPr>
        <w:pStyle w:val="Prrafodelista"/>
        <w:numPr>
          <w:ilvl w:val="0"/>
          <w:numId w:val="12"/>
        </w:numPr>
        <w:tabs>
          <w:tab w:val="num" w:pos="284"/>
        </w:tabs>
        <w:ind w:left="426" w:hanging="426"/>
        <w:jc w:val="both"/>
        <w:rPr>
          <w:rFonts w:eastAsia="Arial Unicode MS" w:cs="Arial"/>
          <w:szCs w:val="22"/>
          <w:lang w:val="es-CL"/>
        </w:rPr>
      </w:pPr>
      <w:r w:rsidRPr="00490F0A">
        <w:rPr>
          <w:rFonts w:eastAsia="Arial Unicode MS" w:cs="Arial"/>
          <w:szCs w:val="22"/>
        </w:rPr>
        <w:t xml:space="preserve">La </w:t>
      </w:r>
      <w:r w:rsidRPr="00490F0A">
        <w:rPr>
          <w:rFonts w:eastAsia="Arial Unicode MS" w:cs="Arial"/>
          <w:szCs w:val="22"/>
          <w:lang w:val="es-CL"/>
        </w:rPr>
        <w:t>compra de bienes raíces, valores e instrumentos financieros (ahorros a plazo, depósitos</w:t>
      </w:r>
      <w:r w:rsidR="00490F0A" w:rsidRPr="00490F0A">
        <w:rPr>
          <w:rFonts w:eastAsia="Arial Unicode MS" w:cs="Arial"/>
          <w:szCs w:val="22"/>
          <w:lang w:val="es-CL"/>
        </w:rPr>
        <w:t xml:space="preserve"> en fondos mutuos, entre otros).</w:t>
      </w:r>
    </w:p>
    <w:p w14:paraId="2A4D9D57" w14:textId="78FE9695" w:rsidR="00490F0A" w:rsidRDefault="00490F0A" w:rsidP="00490F0A">
      <w:pPr>
        <w:tabs>
          <w:tab w:val="num" w:pos="284"/>
        </w:tabs>
        <w:jc w:val="both"/>
        <w:rPr>
          <w:rFonts w:eastAsia="Arial Unicode MS" w:cs="Arial"/>
          <w:szCs w:val="22"/>
          <w:lang w:val="es-CL"/>
        </w:rPr>
      </w:pPr>
    </w:p>
    <w:p w14:paraId="44C11F47" w14:textId="77777777" w:rsidR="00490F0A" w:rsidRPr="00B93A85" w:rsidRDefault="00490F0A" w:rsidP="00490F0A">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59E3CEE2" w14:textId="77777777" w:rsidR="00490F0A" w:rsidRPr="00490F0A" w:rsidRDefault="00490F0A" w:rsidP="00490F0A">
      <w:pPr>
        <w:tabs>
          <w:tab w:val="num" w:pos="284"/>
        </w:tabs>
        <w:jc w:val="both"/>
        <w:rPr>
          <w:rFonts w:eastAsia="Arial Unicode MS" w:cs="Arial"/>
          <w:szCs w:val="22"/>
          <w:lang w:val="es-CL"/>
        </w:rPr>
      </w:pPr>
    </w:p>
    <w:p w14:paraId="57445AEB" w14:textId="5E92A52A" w:rsidR="002C3E77" w:rsidRPr="00490F0A" w:rsidRDefault="002F48C0" w:rsidP="002C3E77">
      <w:pPr>
        <w:pStyle w:val="Prrafodelista"/>
        <w:numPr>
          <w:ilvl w:val="0"/>
          <w:numId w:val="12"/>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31BC0948" w14:textId="77777777" w:rsidR="00F53702" w:rsidRPr="007E559E" w:rsidRDefault="00F53702" w:rsidP="00F53702">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69DBF47E" w14:textId="435D55BA" w:rsid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EAE8667" w14:textId="77777777" w:rsidR="00490F0A" w:rsidRPr="003B37EA" w:rsidRDefault="00490F0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lastRenderedPageBreak/>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lastRenderedPageBreak/>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64173269"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sidR="00AF2A14">
        <w:rPr>
          <w:rFonts w:eastAsia="Arial Unicode MS" w:cs="Arial"/>
          <w:szCs w:val="22"/>
          <w:lang w:val="es-CL"/>
        </w:rPr>
        <w:t xml:space="preserve">y aumento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40072C8F" w:rsidR="00034138" w:rsidRDefault="00034138" w:rsidP="00034138">
      <w:pPr>
        <w:pStyle w:val="NormalWeb"/>
        <w:shd w:val="clear" w:color="auto" w:fill="FFFFFF"/>
        <w:jc w:val="both"/>
        <w:rPr>
          <w:rStyle w:val="Hipervnculo"/>
          <w:szCs w:val="22"/>
          <w:bdr w:val="none" w:sz="0" w:space="0" w:color="auto" w:frame="1"/>
          <w:lang w:val="es-MX"/>
        </w:rPr>
      </w:pPr>
      <w:proofErr w:type="spellStart"/>
      <w:r w:rsidRPr="00034138">
        <w:rPr>
          <w:color w:val="000000"/>
          <w:szCs w:val="22"/>
          <w:bdr w:val="none" w:sz="0" w:space="0" w:color="auto" w:frame="1"/>
          <w:lang w:val="es-MX"/>
        </w:rPr>
        <w:t>Sercotec</w:t>
      </w:r>
      <w:proofErr w:type="spellEnd"/>
      <w:r w:rsidRPr="00034138">
        <w:rPr>
          <w:color w:val="000000"/>
          <w:szCs w:val="22"/>
          <w:bdr w:val="none" w:sz="0" w:space="0" w:color="auto" w:frame="1"/>
          <w:lang w:val="es-MX"/>
        </w:rPr>
        <w:t xml:space="preserve">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 y sitio web </w:t>
      </w:r>
      <w:hyperlink r:id="rId23">
        <w:r w:rsidRPr="00034138">
          <w:rPr>
            <w:rStyle w:val="Hipervnculo"/>
            <w:szCs w:val="22"/>
            <w:bdr w:val="none" w:sz="0" w:space="0" w:color="auto" w:frame="1"/>
            <w:lang w:val="es-MX"/>
          </w:rPr>
          <w:t>www.sercotec.cl</w:t>
        </w:r>
      </w:hyperlink>
    </w:p>
    <w:p w14:paraId="47F9CD5D" w14:textId="77777777" w:rsidR="0015426B" w:rsidRPr="001C7F09" w:rsidRDefault="0015426B" w:rsidP="0015426B">
      <w:r w:rsidRPr="001C7F09">
        <w:t xml:space="preserve">La atención del Punto </w:t>
      </w:r>
      <w:proofErr w:type="spellStart"/>
      <w:r w:rsidRPr="001C7F09">
        <w:t>Mipe</w:t>
      </w:r>
      <w:proofErr w:type="spellEnd"/>
      <w:r w:rsidRPr="001C7F09">
        <w:t xml:space="preserve"> se prestará a través de los siguientes canales: </w:t>
      </w:r>
    </w:p>
    <w:p w14:paraId="554846D2" w14:textId="77777777" w:rsidR="0015426B" w:rsidRPr="001C7F09" w:rsidRDefault="0015426B" w:rsidP="0015426B"/>
    <w:tbl>
      <w:tblPr>
        <w:tblStyle w:val="Tablaconcuadrcula"/>
        <w:tblW w:w="0" w:type="auto"/>
        <w:jc w:val="center"/>
        <w:tblLook w:val="04A0" w:firstRow="1" w:lastRow="0" w:firstColumn="1" w:lastColumn="0" w:noHBand="0" w:noVBand="1"/>
      </w:tblPr>
      <w:tblGrid>
        <w:gridCol w:w="2375"/>
        <w:gridCol w:w="4294"/>
      </w:tblGrid>
      <w:tr w:rsidR="0015426B" w:rsidRPr="00342D74" w14:paraId="19882661" w14:textId="77777777" w:rsidTr="0015426B">
        <w:trPr>
          <w:jc w:val="center"/>
        </w:trPr>
        <w:tc>
          <w:tcPr>
            <w:tcW w:w="6669" w:type="dxa"/>
            <w:gridSpan w:val="2"/>
            <w:shd w:val="clear" w:color="auto" w:fill="D9D9D9" w:themeFill="background1" w:themeFillShade="D9"/>
          </w:tcPr>
          <w:p w14:paraId="50D1BE8E" w14:textId="77777777" w:rsidR="0015426B" w:rsidRPr="00342D74" w:rsidRDefault="0015426B" w:rsidP="00CF2ACD">
            <w:pPr>
              <w:jc w:val="center"/>
              <w:rPr>
                <w:sz w:val="20"/>
              </w:rPr>
            </w:pPr>
            <w:r w:rsidRPr="00342D74">
              <w:rPr>
                <w:sz w:val="20"/>
              </w:rPr>
              <w:t xml:space="preserve">Datos de contacto Punto </w:t>
            </w:r>
            <w:proofErr w:type="spellStart"/>
            <w:r w:rsidRPr="00342D74">
              <w:rPr>
                <w:sz w:val="20"/>
              </w:rPr>
              <w:t>Mipe</w:t>
            </w:r>
            <w:proofErr w:type="spellEnd"/>
            <w:r w:rsidRPr="00342D74">
              <w:rPr>
                <w:sz w:val="20"/>
              </w:rPr>
              <w:t xml:space="preserve"> </w:t>
            </w:r>
            <w:proofErr w:type="spellStart"/>
            <w:r w:rsidRPr="00342D74">
              <w:rPr>
                <w:sz w:val="20"/>
              </w:rPr>
              <w:t>Sercotec</w:t>
            </w:r>
            <w:proofErr w:type="spellEnd"/>
          </w:p>
        </w:tc>
      </w:tr>
      <w:tr w:rsidR="0015426B" w:rsidRPr="00342D74" w14:paraId="214DC5E4" w14:textId="77777777" w:rsidTr="00CF2ACD">
        <w:trPr>
          <w:jc w:val="center"/>
        </w:trPr>
        <w:tc>
          <w:tcPr>
            <w:tcW w:w="2375" w:type="dxa"/>
          </w:tcPr>
          <w:p w14:paraId="17351415" w14:textId="77777777" w:rsidR="0015426B" w:rsidRPr="00342D74" w:rsidRDefault="0015426B" w:rsidP="00CF2ACD">
            <w:pPr>
              <w:rPr>
                <w:sz w:val="20"/>
              </w:rPr>
            </w:pPr>
            <w:r w:rsidRPr="00342D74">
              <w:rPr>
                <w:sz w:val="20"/>
              </w:rPr>
              <w:t>Contacto OIRS</w:t>
            </w:r>
          </w:p>
        </w:tc>
        <w:tc>
          <w:tcPr>
            <w:tcW w:w="0" w:type="auto"/>
          </w:tcPr>
          <w:p w14:paraId="6A502FFC" w14:textId="77777777" w:rsidR="0015426B" w:rsidRPr="00342D74" w:rsidRDefault="0015426B" w:rsidP="00CF2ACD">
            <w:pPr>
              <w:jc w:val="right"/>
              <w:rPr>
                <w:sz w:val="20"/>
              </w:rPr>
            </w:pPr>
            <w:r w:rsidRPr="00342D74">
              <w:rPr>
                <w:sz w:val="20"/>
              </w:rPr>
              <w:t>www.sercotec.cl/contacto</w:t>
            </w:r>
          </w:p>
        </w:tc>
      </w:tr>
      <w:tr w:rsidR="0015426B" w:rsidRPr="00342D74" w14:paraId="70C00244" w14:textId="77777777" w:rsidTr="00CF2ACD">
        <w:trPr>
          <w:jc w:val="center"/>
        </w:trPr>
        <w:tc>
          <w:tcPr>
            <w:tcW w:w="2375" w:type="dxa"/>
          </w:tcPr>
          <w:p w14:paraId="3FAD9285" w14:textId="77777777" w:rsidR="0015426B" w:rsidRPr="00342D74" w:rsidRDefault="0015426B" w:rsidP="00CF2ACD">
            <w:pPr>
              <w:rPr>
                <w:sz w:val="20"/>
              </w:rPr>
            </w:pPr>
            <w:r w:rsidRPr="00342D74">
              <w:rPr>
                <w:sz w:val="20"/>
              </w:rPr>
              <w:t>Teléfonos</w:t>
            </w:r>
          </w:p>
        </w:tc>
        <w:tc>
          <w:tcPr>
            <w:tcW w:w="0" w:type="auto"/>
          </w:tcPr>
          <w:p w14:paraId="00DAD83B" w14:textId="77777777" w:rsidR="0015426B" w:rsidRPr="00342D74" w:rsidRDefault="0015426B" w:rsidP="00CF2ACD">
            <w:pPr>
              <w:jc w:val="right"/>
              <w:rPr>
                <w:sz w:val="20"/>
              </w:rPr>
            </w:pPr>
            <w:r w:rsidRPr="00342D74">
              <w:rPr>
                <w:sz w:val="20"/>
              </w:rPr>
              <w:t>2 3242 5173</w:t>
            </w:r>
          </w:p>
          <w:p w14:paraId="06EA976E" w14:textId="4653099F" w:rsidR="0015426B" w:rsidRPr="00342D74" w:rsidRDefault="0015426B" w:rsidP="0015426B">
            <w:pPr>
              <w:jc w:val="right"/>
              <w:rPr>
                <w:sz w:val="20"/>
              </w:rPr>
            </w:pPr>
            <w:r w:rsidRPr="00342D74">
              <w:rPr>
                <w:sz w:val="20"/>
              </w:rPr>
              <w:t>2 3242 5175</w:t>
            </w:r>
          </w:p>
        </w:tc>
      </w:tr>
      <w:tr w:rsidR="0015426B" w:rsidRPr="00342D74" w14:paraId="04E9A990" w14:textId="77777777" w:rsidTr="00CF2ACD">
        <w:trPr>
          <w:jc w:val="center"/>
        </w:trPr>
        <w:tc>
          <w:tcPr>
            <w:tcW w:w="2375" w:type="dxa"/>
          </w:tcPr>
          <w:p w14:paraId="1123EA76" w14:textId="77777777" w:rsidR="0015426B" w:rsidRPr="00342D74" w:rsidRDefault="0015426B" w:rsidP="00CF2ACD">
            <w:pPr>
              <w:rPr>
                <w:sz w:val="20"/>
              </w:rPr>
            </w:pPr>
            <w:r w:rsidRPr="00342D74">
              <w:rPr>
                <w:sz w:val="20"/>
              </w:rPr>
              <w:t>Dirección</w:t>
            </w:r>
          </w:p>
        </w:tc>
        <w:tc>
          <w:tcPr>
            <w:tcW w:w="0" w:type="auto"/>
          </w:tcPr>
          <w:p w14:paraId="29E658CE" w14:textId="77777777" w:rsidR="0015426B" w:rsidRPr="00342D74" w:rsidRDefault="0015426B" w:rsidP="00CF2ACD">
            <w:pPr>
              <w:jc w:val="right"/>
              <w:rPr>
                <w:sz w:val="20"/>
              </w:rPr>
            </w:pPr>
            <w:r w:rsidRPr="00342D74">
              <w:rPr>
                <w:sz w:val="20"/>
              </w:rPr>
              <w:t xml:space="preserve">Av. </w:t>
            </w:r>
            <w:proofErr w:type="spellStart"/>
            <w:r w:rsidRPr="00342D74">
              <w:rPr>
                <w:sz w:val="20"/>
              </w:rPr>
              <w:t>Copayapu</w:t>
            </w:r>
            <w:proofErr w:type="spellEnd"/>
            <w:r w:rsidRPr="00342D74">
              <w:rPr>
                <w:sz w:val="20"/>
              </w:rPr>
              <w:t xml:space="preserve"> #1579, Copiapó.</w:t>
            </w:r>
          </w:p>
        </w:tc>
      </w:tr>
    </w:tbl>
    <w:p w14:paraId="131A9ACF" w14:textId="77777777" w:rsidR="0015426B" w:rsidRPr="001C7F09" w:rsidRDefault="0015426B" w:rsidP="0015426B"/>
    <w:p w14:paraId="7EB1B217" w14:textId="77777777" w:rsidR="0015426B" w:rsidRPr="001C7F09" w:rsidRDefault="0015426B" w:rsidP="0015426B">
      <w:pPr>
        <w:pStyle w:val="Sinespaciado"/>
      </w:pPr>
      <w:r w:rsidRPr="001C7F09">
        <w:t xml:space="preserve">El horario de atención del Punto </w:t>
      </w:r>
      <w:proofErr w:type="spellStart"/>
      <w:r w:rsidRPr="001C7F09">
        <w:t>Mipe</w:t>
      </w:r>
      <w:proofErr w:type="spellEnd"/>
      <w:r w:rsidRPr="001C7F09">
        <w:t xml:space="preserve"> es:</w:t>
      </w:r>
    </w:p>
    <w:p w14:paraId="020A13B8" w14:textId="5E04CA6F" w:rsidR="0015426B" w:rsidRPr="001C7F09" w:rsidRDefault="0015426B" w:rsidP="0015426B">
      <w:pPr>
        <w:pStyle w:val="Sinespaciado"/>
        <w:numPr>
          <w:ilvl w:val="0"/>
          <w:numId w:val="72"/>
        </w:numPr>
        <w:jc w:val="both"/>
      </w:pPr>
      <w:r w:rsidRPr="001C7F09">
        <w:t xml:space="preserve">De lunes a jueves desde las 09:00 - 13:00 </w:t>
      </w:r>
      <w:proofErr w:type="spellStart"/>
      <w:r w:rsidRPr="001C7F09">
        <w:t>hrs</w:t>
      </w:r>
      <w:proofErr w:type="spellEnd"/>
      <w:r w:rsidR="00513DCD">
        <w:t>.</w:t>
      </w:r>
      <w:r w:rsidRPr="001C7F09">
        <w:t xml:space="preserve"> y de 15:00 – 18:00 </w:t>
      </w:r>
      <w:proofErr w:type="spellStart"/>
      <w:r w:rsidRPr="001C7F09">
        <w:t>hrs</w:t>
      </w:r>
      <w:proofErr w:type="spellEnd"/>
      <w:r w:rsidRPr="001C7F09">
        <w:t>.</w:t>
      </w:r>
    </w:p>
    <w:p w14:paraId="6E455266" w14:textId="6FFDA6C4" w:rsidR="0015426B" w:rsidRDefault="0015426B" w:rsidP="0015426B">
      <w:pPr>
        <w:pStyle w:val="Sinespaciado"/>
        <w:numPr>
          <w:ilvl w:val="0"/>
          <w:numId w:val="72"/>
        </w:numPr>
        <w:jc w:val="both"/>
      </w:pPr>
      <w:r w:rsidRPr="001C7F09">
        <w:t xml:space="preserve">Viernes de 09:00 - 13:00 </w:t>
      </w:r>
      <w:proofErr w:type="spellStart"/>
      <w:r w:rsidRPr="001C7F09">
        <w:t>hrs</w:t>
      </w:r>
      <w:proofErr w:type="spellEnd"/>
      <w:r w:rsidR="00513DCD">
        <w:t>.</w:t>
      </w:r>
      <w:r w:rsidRPr="001C7F09">
        <w:t xml:space="preserve"> y de 14:30 – 16:00 </w:t>
      </w:r>
      <w:proofErr w:type="spellStart"/>
      <w:r w:rsidRPr="001C7F09">
        <w:t>hrs</w:t>
      </w:r>
      <w:proofErr w:type="spellEnd"/>
      <w:r w:rsidRPr="001C7F09">
        <w:t>.</w:t>
      </w:r>
    </w:p>
    <w:p w14:paraId="78D0EF7E" w14:textId="77777777" w:rsidR="00513DCD" w:rsidRPr="0015426B" w:rsidRDefault="00513DCD" w:rsidP="00513DCD">
      <w:pPr>
        <w:pStyle w:val="Sinespaciado"/>
        <w:ind w:left="720"/>
        <w:jc w:val="both"/>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1ABBB39A" w14:textId="77777777" w:rsidR="00F16CB2" w:rsidRDefault="00F16CB2" w:rsidP="00F16CB2">
      <w:pPr>
        <w:pStyle w:val="Ttulo2"/>
        <w:numPr>
          <w:ilvl w:val="0"/>
          <w:numId w:val="0"/>
        </w:numPr>
        <w:spacing w:before="0" w:after="0"/>
        <w:jc w:val="both"/>
        <w:rPr>
          <w:rFonts w:cs="Arial"/>
          <w:szCs w:val="22"/>
          <w:lang w:val="es-CL"/>
        </w:rPr>
      </w:pPr>
      <w:bookmarkStart w:id="43" w:name="_Toc103768341"/>
    </w:p>
    <w:p w14:paraId="6543AA5C" w14:textId="77777777" w:rsidR="00F16CB2" w:rsidRDefault="00F16CB2">
      <w:pPr>
        <w:rPr>
          <w:rFonts w:cs="Arial"/>
          <w:b/>
          <w:bCs/>
          <w:iCs/>
          <w:szCs w:val="22"/>
          <w:lang w:val="es-CL"/>
        </w:rPr>
      </w:pPr>
      <w:r>
        <w:rPr>
          <w:rFonts w:cs="Arial"/>
          <w:szCs w:val="22"/>
          <w:lang w:val="es-CL"/>
        </w:rPr>
        <w:br w:type="page"/>
      </w:r>
    </w:p>
    <w:p w14:paraId="151BE188" w14:textId="2DE5D5B1" w:rsidR="007F647B" w:rsidRDefault="007F647B" w:rsidP="004D3E45">
      <w:pPr>
        <w:pStyle w:val="Ttulo2"/>
        <w:numPr>
          <w:ilvl w:val="1"/>
          <w:numId w:val="14"/>
        </w:numPr>
        <w:spacing w:before="0" w:after="0"/>
        <w:ind w:left="567" w:hanging="567"/>
        <w:jc w:val="both"/>
        <w:rPr>
          <w:rFonts w:cs="Arial"/>
          <w:szCs w:val="22"/>
          <w:lang w:val="es-CL"/>
        </w:rPr>
      </w:pPr>
      <w:r>
        <w:rPr>
          <w:rFonts w:cs="Arial"/>
          <w:szCs w:val="22"/>
          <w:lang w:val="es-CL"/>
        </w:rPr>
        <w:lastRenderedPageBreak/>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9FE6014"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lastRenderedPageBreak/>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Pr>
                <w:rFonts w:eastAsia="Arial Unicode MS" w:cs="Arial"/>
                <w:szCs w:val="22"/>
              </w:rPr>
              <w:t>.</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w:t>
            </w:r>
            <w:r w:rsidR="00FA222C" w:rsidRPr="000C4629">
              <w:rPr>
                <w:rFonts w:eastAsia="Arial Unicode MS" w:cs="Arial"/>
                <w:bCs/>
                <w:sz w:val="20"/>
                <w:szCs w:val="18"/>
              </w:rPr>
              <w:lastRenderedPageBreak/>
              <w:t xml:space="preserve">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0" w:type="pct"/>
            <w:shd w:val="clear" w:color="auto" w:fill="auto"/>
            <w:vAlign w:val="center"/>
          </w:tcPr>
          <w:p w14:paraId="70CF55B3" w14:textId="07693D84" w:rsidR="00FA222C" w:rsidRPr="005F487F" w:rsidRDefault="00490F0A" w:rsidP="00FA222C">
            <w:pPr>
              <w:jc w:val="center"/>
              <w:rPr>
                <w:rFonts w:eastAsia="Arial Unicode MS" w:cstheme="minorHAnsi"/>
                <w:bCs/>
                <w:sz w:val="20"/>
                <w:szCs w:val="22"/>
              </w:rPr>
            </w:pPr>
            <w:r>
              <w:rPr>
                <w:rFonts w:eastAsia="Arial Unicode MS" w:cstheme="minorHAnsi"/>
                <w:bCs/>
                <w:sz w:val="20"/>
                <w:szCs w:val="22"/>
              </w:rPr>
              <w:lastRenderedPageBreak/>
              <w:t>35</w:t>
            </w:r>
            <w:r w:rsidR="00FA222C" w:rsidRPr="005F487F">
              <w:rPr>
                <w:rFonts w:eastAsia="Arial Unicode MS" w:cstheme="minorHAnsi"/>
                <w:bCs/>
                <w:sz w:val="20"/>
                <w:szCs w:val="22"/>
              </w:rPr>
              <w:t>%</w:t>
            </w:r>
          </w:p>
        </w:tc>
      </w:tr>
      <w:tr w:rsidR="00490F0A" w:rsidRPr="00B93A85" w14:paraId="184BD9D7" w14:textId="77777777" w:rsidTr="00791155">
        <w:trPr>
          <w:trHeight w:val="528"/>
          <w:jc w:val="center"/>
        </w:trPr>
        <w:tc>
          <w:tcPr>
            <w:tcW w:w="4130" w:type="pct"/>
            <w:shd w:val="clear" w:color="auto" w:fill="auto"/>
            <w:vAlign w:val="center"/>
          </w:tcPr>
          <w:p w14:paraId="22EDE8E3" w14:textId="122F2931" w:rsidR="00490F0A" w:rsidRPr="00513DCD" w:rsidRDefault="00490F0A" w:rsidP="00490F0A">
            <w:pPr>
              <w:pStyle w:val="Prrafodelista"/>
              <w:numPr>
                <w:ilvl w:val="0"/>
                <w:numId w:val="25"/>
              </w:numPr>
              <w:ind w:left="306" w:hanging="284"/>
              <w:jc w:val="both"/>
              <w:rPr>
                <w:rFonts w:eastAsia="Arial Unicode MS" w:cs="Arial"/>
                <w:bCs/>
                <w:sz w:val="20"/>
                <w:szCs w:val="18"/>
              </w:rPr>
            </w:pPr>
            <w:r w:rsidRPr="005A09B1">
              <w:rPr>
                <w:rFonts w:eastAsia="Arial" w:cs="Arial"/>
                <w:color w:val="000000"/>
                <w:sz w:val="20"/>
                <w:szCs w:val="20"/>
              </w:rPr>
              <w:lastRenderedPageBreak/>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1C0C209D" w14:textId="13489634" w:rsidR="00490F0A" w:rsidRDefault="00490F0A" w:rsidP="00490F0A">
            <w:pPr>
              <w:jc w:val="center"/>
              <w:rPr>
                <w:rFonts w:eastAsia="Arial Unicode MS" w:cstheme="minorHAnsi"/>
                <w:bCs/>
                <w:sz w:val="20"/>
                <w:szCs w:val="22"/>
              </w:rPr>
            </w:pPr>
            <w:r>
              <w:rPr>
                <w:rFonts w:eastAsia="Arial Unicode MS" w:cstheme="minorHAnsi"/>
                <w:bCs/>
                <w:sz w:val="20"/>
                <w:szCs w:val="22"/>
              </w:rPr>
              <w:t>5%</w:t>
            </w:r>
          </w:p>
        </w:tc>
      </w:tr>
      <w:tr w:rsidR="00490F0A" w:rsidRPr="00B93A85" w14:paraId="201E460A" w14:textId="77777777" w:rsidTr="00791155">
        <w:trPr>
          <w:trHeight w:val="528"/>
          <w:jc w:val="center"/>
        </w:trPr>
        <w:tc>
          <w:tcPr>
            <w:tcW w:w="4130" w:type="pct"/>
            <w:shd w:val="clear" w:color="auto" w:fill="auto"/>
            <w:vAlign w:val="center"/>
          </w:tcPr>
          <w:p w14:paraId="71980B1C" w14:textId="21CAD3C9" w:rsidR="00490F0A" w:rsidRPr="00BC5DDE" w:rsidRDefault="00490F0A" w:rsidP="00490F0A">
            <w:pPr>
              <w:pStyle w:val="Prrafodelista"/>
              <w:numPr>
                <w:ilvl w:val="0"/>
                <w:numId w:val="25"/>
              </w:numPr>
              <w:ind w:left="306" w:hanging="284"/>
              <w:jc w:val="both"/>
              <w:rPr>
                <w:rFonts w:eastAsia="Arial Unicode MS" w:cstheme="minorHAnsi"/>
                <w:b/>
                <w:bCs/>
                <w:sz w:val="20"/>
                <w:szCs w:val="22"/>
              </w:rPr>
            </w:pPr>
            <w:r w:rsidRPr="00513DCD">
              <w:rPr>
                <w:rFonts w:eastAsia="Arial Unicode MS" w:cs="Arial"/>
                <w:bCs/>
                <w:sz w:val="20"/>
                <w:szCs w:val="18"/>
              </w:rPr>
              <w:t>Aumento de Ventas, comparando el total de ventas del período 1 (enero-febrero - marzo  de 2022) con el total de ventas del período 2 (enero- febrero - marzo  de 2023).</w:t>
            </w:r>
          </w:p>
        </w:tc>
        <w:tc>
          <w:tcPr>
            <w:tcW w:w="870" w:type="pct"/>
            <w:shd w:val="clear" w:color="auto" w:fill="auto"/>
            <w:vAlign w:val="center"/>
          </w:tcPr>
          <w:p w14:paraId="70EF1C51" w14:textId="6EA54A07" w:rsidR="00490F0A" w:rsidRPr="005F487F" w:rsidRDefault="00490F0A" w:rsidP="00490F0A">
            <w:pPr>
              <w:jc w:val="center"/>
              <w:rPr>
                <w:rFonts w:eastAsia="Arial Unicode MS" w:cstheme="minorHAnsi"/>
                <w:bCs/>
                <w:sz w:val="20"/>
                <w:szCs w:val="22"/>
              </w:rPr>
            </w:pPr>
            <w:r>
              <w:rPr>
                <w:rFonts w:eastAsia="Arial Unicode MS" w:cstheme="minorHAnsi"/>
                <w:bCs/>
                <w:sz w:val="20"/>
                <w:szCs w:val="22"/>
              </w:rPr>
              <w:t>3</w:t>
            </w:r>
            <w:r w:rsidRPr="005F487F">
              <w:rPr>
                <w:rFonts w:eastAsia="Arial Unicode MS" w:cstheme="minorHAnsi"/>
                <w:bCs/>
                <w:sz w:val="20"/>
                <w:szCs w:val="22"/>
              </w:rPr>
              <w:t>0%</w:t>
            </w:r>
          </w:p>
        </w:tc>
      </w:tr>
      <w:tr w:rsidR="00490F0A" w:rsidRPr="00B93A85" w14:paraId="1ACBE1AF" w14:textId="77777777" w:rsidTr="00791155">
        <w:trPr>
          <w:trHeight w:val="515"/>
          <w:jc w:val="center"/>
        </w:trPr>
        <w:tc>
          <w:tcPr>
            <w:tcW w:w="4130" w:type="pct"/>
            <w:shd w:val="clear" w:color="auto" w:fill="auto"/>
            <w:vAlign w:val="center"/>
          </w:tcPr>
          <w:p w14:paraId="4471B5CA" w14:textId="42421638" w:rsidR="00490F0A" w:rsidRPr="00322523" w:rsidRDefault="00490F0A" w:rsidP="00490F0A">
            <w:pPr>
              <w:pStyle w:val="Prrafodelista"/>
              <w:numPr>
                <w:ilvl w:val="0"/>
                <w:numId w:val="25"/>
              </w:numPr>
              <w:ind w:left="306" w:hanging="284"/>
              <w:jc w:val="both"/>
              <w:rPr>
                <w:rFonts w:eastAsia="Arial Unicode MS" w:cstheme="minorHAnsi"/>
                <w:bCs/>
                <w:szCs w:val="22"/>
              </w:rPr>
            </w:pPr>
            <w:r w:rsidRPr="00513DCD">
              <w:rPr>
                <w:rFonts w:eastAsia="Arial Unicode MS" w:cs="Arial"/>
                <w:bCs/>
                <w:sz w:val="20"/>
                <w:szCs w:val="18"/>
              </w:rPr>
              <w:t>Descentralización Regional y zonas rezagadas</w:t>
            </w:r>
            <w:r>
              <w:rPr>
                <w:rFonts w:eastAsia="Arial Unicode MS" w:cs="Arial"/>
                <w:bCs/>
                <w:sz w:val="20"/>
                <w:szCs w:val="18"/>
              </w:rPr>
              <w:t>.</w:t>
            </w:r>
          </w:p>
        </w:tc>
        <w:tc>
          <w:tcPr>
            <w:tcW w:w="870" w:type="pct"/>
            <w:shd w:val="clear" w:color="auto" w:fill="auto"/>
            <w:vAlign w:val="center"/>
          </w:tcPr>
          <w:p w14:paraId="5957DD26" w14:textId="3824A616" w:rsidR="00490F0A" w:rsidRPr="005F487F" w:rsidRDefault="00490F0A" w:rsidP="00490F0A">
            <w:pPr>
              <w:jc w:val="center"/>
              <w:rPr>
                <w:rFonts w:eastAsia="Arial Unicode MS" w:cstheme="minorHAnsi"/>
                <w:bCs/>
                <w:sz w:val="20"/>
                <w:szCs w:val="22"/>
              </w:rPr>
            </w:pPr>
            <w:r>
              <w:rPr>
                <w:rFonts w:eastAsia="Arial Unicode MS" w:cstheme="minorHAnsi"/>
                <w:bCs/>
                <w:sz w:val="20"/>
                <w:szCs w:val="22"/>
              </w:rPr>
              <w:t>30</w:t>
            </w:r>
            <w:r w:rsidRPr="005F487F">
              <w:rPr>
                <w:rFonts w:eastAsia="Arial Unicode MS" w:cstheme="minorHAnsi"/>
                <w:bCs/>
                <w:sz w:val="20"/>
                <w:szCs w:val="22"/>
              </w:rPr>
              <w:t>%</w:t>
            </w:r>
          </w:p>
        </w:tc>
      </w:tr>
      <w:tr w:rsidR="00490F0A" w:rsidRPr="00B93A85" w14:paraId="5826CE1A" w14:textId="77777777" w:rsidTr="00791155">
        <w:trPr>
          <w:jc w:val="center"/>
        </w:trPr>
        <w:tc>
          <w:tcPr>
            <w:tcW w:w="4130" w:type="pct"/>
            <w:shd w:val="pct15" w:color="auto" w:fill="FFFFFF" w:themeFill="background1"/>
            <w:vAlign w:val="center"/>
          </w:tcPr>
          <w:p w14:paraId="1A9DB91D" w14:textId="77777777" w:rsidR="00490F0A" w:rsidRPr="00176AC1" w:rsidRDefault="00490F0A" w:rsidP="00490F0A">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490F0A" w:rsidRPr="00176AC1" w:rsidRDefault="00490F0A" w:rsidP="00490F0A">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lastRenderedPageBreak/>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336AB9E2"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 xml:space="preserve">Por </w:t>
      </w:r>
      <w:r>
        <w:rPr>
          <w:rFonts w:cs="Arial"/>
        </w:rPr>
        <w:lastRenderedPageBreak/>
        <w:t>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w:t>
      </w:r>
      <w:proofErr w:type="spellStart"/>
      <w:r w:rsidR="0018236A" w:rsidRPr="00686FCB">
        <w:rPr>
          <w:rFonts w:cs="Arial"/>
          <w:color w:val="000000" w:themeColor="text1"/>
          <w:szCs w:val="22"/>
        </w:rPr>
        <w:t>Sercotec</w:t>
      </w:r>
      <w:proofErr w:type="spellEnd"/>
      <w:r w:rsidR="0018236A"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 xml:space="preserve">razones de fuerza </w:t>
      </w:r>
      <w:r w:rsidR="008B7FA3">
        <w:rPr>
          <w:rFonts w:cs="Arial"/>
          <w:color w:val="000000" w:themeColor="text1"/>
          <w:szCs w:val="22"/>
        </w:rPr>
        <w:lastRenderedPageBreak/>
        <w:t>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79"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79"/>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proofErr w:type="gramStart"/>
      <w:r w:rsidRPr="0077246D">
        <w:rPr>
          <w:rFonts w:eastAsia="Arial Unicode MS" w:cs="Arial"/>
          <w:szCs w:val="22"/>
        </w:rPr>
        <w:t>obstante</w:t>
      </w:r>
      <w:proofErr w:type="gramEnd"/>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w:t>
      </w:r>
      <w:r w:rsidRPr="00A0167F">
        <w:rPr>
          <w:rFonts w:eastAsia="Arial Unicode MS" w:cs="Arial"/>
          <w:szCs w:val="22"/>
          <w:lang w:val="es-CL"/>
        </w:rPr>
        <w:lastRenderedPageBreak/>
        <w:t>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0" w:name="_Toc103768347"/>
      <w:r>
        <w:rPr>
          <w:rFonts w:eastAsia="Arial Unicode MS"/>
          <w:szCs w:val="22"/>
        </w:rPr>
        <w:t>Ajustes</w:t>
      </w:r>
      <w:r w:rsidR="00F27352">
        <w:rPr>
          <w:rFonts w:eastAsia="Arial Unicode MS"/>
          <w:szCs w:val="22"/>
        </w:rPr>
        <w:t xml:space="preserve"> Plan de Trabajo</w:t>
      </w:r>
      <w:bookmarkEnd w:id="80"/>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2FB0B3CA"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521C258" w14:textId="56FCFC8A" w:rsidR="00F90B1C" w:rsidRDefault="00F90B1C">
      <w:pPr>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1" w:name="_Toc103768348"/>
    </w:p>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1"/>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lastRenderedPageBreak/>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633A1435"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B84C45" w:rsidRPr="004E6C2A">
        <w:rPr>
          <w:rFonts w:eastAsia="Arial Unicode MS" w:cs="Arial"/>
          <w:szCs w:val="22"/>
        </w:rPr>
        <w:t>100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27B563F5"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42E45">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plazo considerando antecedentes presentados por el Agente Operador </w:t>
      </w:r>
      <w:proofErr w:type="spellStart"/>
      <w:r w:rsidR="004746C2" w:rsidRPr="004746C2">
        <w:rPr>
          <w:rFonts w:cs="Arial"/>
          <w:bCs/>
          <w:szCs w:val="22"/>
        </w:rPr>
        <w:t>Sercotec</w:t>
      </w:r>
      <w:proofErr w:type="spellEnd"/>
      <w:r w:rsidR="004746C2" w:rsidRPr="004746C2">
        <w:rPr>
          <w:rFonts w:cs="Arial"/>
          <w:bCs/>
          <w:szCs w:val="22"/>
        </w:rPr>
        <w:t>,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 xml:space="preserve">en el procedimiento de Rendiciones de </w:t>
      </w:r>
      <w:proofErr w:type="spellStart"/>
      <w:r w:rsidR="004746C2">
        <w:rPr>
          <w:rFonts w:cs="Arial"/>
          <w:szCs w:val="22"/>
        </w:rPr>
        <w:t>Sercotec</w:t>
      </w:r>
      <w:proofErr w:type="spellEnd"/>
      <w:r w:rsidR="004746C2">
        <w:rPr>
          <w:rStyle w:val="Refdenotaalpie"/>
          <w:rFonts w:cs="Arial"/>
          <w:szCs w:val="22"/>
        </w:rPr>
        <w:footnoteReference w:id="11"/>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w:t>
      </w:r>
      <w:r w:rsidRPr="00281913">
        <w:rPr>
          <w:rFonts w:cs="Arial"/>
          <w:szCs w:val="22"/>
        </w:rPr>
        <w:lastRenderedPageBreak/>
        <w:t xml:space="preserve">proporción entre el subsidio de </w:t>
      </w:r>
      <w:proofErr w:type="spellStart"/>
      <w:r w:rsidRPr="00281913">
        <w:rPr>
          <w:rFonts w:cs="Arial"/>
          <w:szCs w:val="22"/>
        </w:rPr>
        <w:t>Sercotec</w:t>
      </w:r>
      <w:proofErr w:type="spellEnd"/>
      <w:r w:rsidRPr="00281913">
        <w:rPr>
          <w:rFonts w:cs="Arial"/>
          <w:szCs w:val="22"/>
        </w:rPr>
        <w:t xml:space="preserve">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lastRenderedPageBreak/>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2" w:name="_Toc79961815"/>
      <w:bookmarkStart w:id="83"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2"/>
      <w:bookmarkEnd w:id="83"/>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4" w:name="_Toc521483855"/>
      <w:r w:rsidRPr="005954AE">
        <w:rPr>
          <w:rFonts w:eastAsia="Arial Unicode MS" w:cs="Arial"/>
          <w:b/>
          <w:szCs w:val="22"/>
        </w:rPr>
        <w:t xml:space="preserve">Término Anticipado del </w:t>
      </w:r>
      <w:bookmarkEnd w:id="84"/>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3"/>
      </w:r>
      <w:r>
        <w:rPr>
          <w:rFonts w:eastAsia="Arial Unicode MS" w:cs="Arial"/>
          <w:szCs w:val="22"/>
        </w:rPr>
        <w:t xml:space="preserve"> </w:t>
      </w:r>
      <w:r>
        <w:rPr>
          <w:rFonts w:eastAsia="Arial Unicode MS" w:cs="Arial"/>
          <w:szCs w:val="22"/>
        </w:rPr>
        <w:lastRenderedPageBreak/>
        <w:t>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 xml:space="preserve">a través de </w:t>
      </w:r>
      <w:r>
        <w:lastRenderedPageBreak/>
        <w:t>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w:t>
      </w:r>
      <w:r w:rsidRPr="00F76B5D">
        <w:rPr>
          <w:rFonts w:eastAsia="Arial Unicode MS" w:cs="Arial"/>
          <w:szCs w:val="22"/>
        </w:rPr>
        <w:lastRenderedPageBreak/>
        <w:t xml:space="preserve">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5" w:name="_Toc103768350"/>
      <w:r w:rsidRPr="00B93A85">
        <w:rPr>
          <w:rFonts w:eastAsia="Arial Unicode MS"/>
          <w:szCs w:val="22"/>
        </w:rPr>
        <w:t>OTROS</w:t>
      </w:r>
      <w:bookmarkEnd w:id="85"/>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lastRenderedPageBreak/>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6" w:name="_Toc507191239"/>
      <w:bookmarkStart w:id="87"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8" w:name="_Toc103768351"/>
      <w:r w:rsidR="004C23D0" w:rsidRPr="00D82C0E">
        <w:rPr>
          <w:szCs w:val="22"/>
        </w:rPr>
        <w:lastRenderedPageBreak/>
        <w:t>ANEXO N° 1</w:t>
      </w:r>
      <w:bookmarkEnd w:id="86"/>
      <w:r w:rsidR="005E13EE" w:rsidRPr="00D82C0E">
        <w:rPr>
          <w:szCs w:val="22"/>
        </w:rPr>
        <w:t>. REQUISITOS DE LA CONVOCATORIA</w:t>
      </w:r>
      <w:bookmarkEnd w:id="88"/>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7"/>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38C0E82D"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15426B">
              <w:rPr>
                <w:rFonts w:cs="Calibri"/>
                <w:sz w:val="18"/>
                <w:szCs w:val="18"/>
                <w:lang w:val="es-CL" w:eastAsia="en-US"/>
              </w:rPr>
              <w:t>Atacama</w:t>
            </w:r>
            <w:r w:rsidR="00361EEF"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2EE9442B" w:rsidR="00837F58" w:rsidRPr="00A31C09" w:rsidRDefault="00A31C09" w:rsidP="00A31C09">
            <w:pPr>
              <w:pStyle w:val="Prrafodelista"/>
              <w:numPr>
                <w:ilvl w:val="0"/>
                <w:numId w:val="26"/>
              </w:numPr>
              <w:ind w:left="306" w:hanging="284"/>
              <w:contextualSpacing/>
              <w:jc w:val="both"/>
              <w:rPr>
                <w:rFonts w:cs="Calibri"/>
                <w:sz w:val="18"/>
                <w:szCs w:val="18"/>
                <w:lang w:eastAsia="en-US"/>
              </w:rPr>
            </w:pPr>
            <w:r w:rsidRPr="00A31C09">
              <w:rPr>
                <w:rFonts w:cs="Calibri"/>
                <w:sz w:val="18"/>
                <w:szCs w:val="18"/>
                <w:lang w:eastAsia="en-US"/>
              </w:rPr>
              <w:t>No haber sido beneficiado del inst</w:t>
            </w:r>
            <w:r w:rsidR="00B06B57">
              <w:rPr>
                <w:rFonts w:cs="Calibri"/>
                <w:sz w:val="18"/>
                <w:szCs w:val="18"/>
                <w:lang w:eastAsia="en-US"/>
              </w:rPr>
              <w:t>rumento Crece año 2022 y 2023;</w:t>
            </w:r>
            <w:r w:rsidRPr="00A31C09">
              <w:rPr>
                <w:rFonts w:cs="Calibri"/>
                <w:sz w:val="18"/>
                <w:szCs w:val="18"/>
                <w:lang w:eastAsia="en-US"/>
              </w:rPr>
              <w:t xml:space="preserve"> Digitaliza tu Almacén </w:t>
            </w:r>
            <w:r w:rsidR="00B06B57">
              <w:rPr>
                <w:rFonts w:cs="Calibri"/>
                <w:sz w:val="18"/>
                <w:szCs w:val="18"/>
                <w:lang w:eastAsia="en-US"/>
              </w:rPr>
              <w:t xml:space="preserve">años 2022 y 2023 </w:t>
            </w:r>
            <w:r w:rsidR="00B06B57">
              <w:rPr>
                <w:rFonts w:cs="Calibri"/>
                <w:sz w:val="18"/>
                <w:szCs w:val="18"/>
                <w:lang w:eastAsia="en-US"/>
              </w:rPr>
              <w:lastRenderedPageBreak/>
              <w:t xml:space="preserve">y </w:t>
            </w:r>
            <w:r w:rsidR="00B06B57" w:rsidRPr="00B06B57">
              <w:rPr>
                <w:rFonts w:cs="Calibri"/>
                <w:sz w:val="18"/>
                <w:szCs w:val="18"/>
                <w:lang w:eastAsia="en-US"/>
              </w:rPr>
              <w:t>Recupera Turismo, Rec</w:t>
            </w:r>
            <w:r w:rsidR="00734773">
              <w:rPr>
                <w:rFonts w:cs="Calibri"/>
                <w:sz w:val="18"/>
                <w:szCs w:val="18"/>
                <w:lang w:eastAsia="en-US"/>
              </w:rPr>
              <w:t>upera Tu Pyme</w:t>
            </w:r>
            <w:r w:rsidR="00B06B57">
              <w:rPr>
                <w:rFonts w:cs="Calibri"/>
                <w:sz w:val="18"/>
                <w:szCs w:val="18"/>
                <w:lang w:eastAsia="en-US"/>
              </w:rPr>
              <w:t xml:space="preserve"> y cualquier Convocatoria </w:t>
            </w:r>
            <w:r w:rsidR="00B06B57" w:rsidRPr="00B06B57">
              <w:rPr>
                <w:rFonts w:cs="Calibri"/>
                <w:sz w:val="18"/>
                <w:szCs w:val="18"/>
                <w:lang w:eastAsia="en-US"/>
              </w:rPr>
              <w:t>Recupera año 2022</w:t>
            </w:r>
            <w:r w:rsidR="00B06B57">
              <w:rPr>
                <w:rFonts w:cs="Calibri"/>
                <w:sz w:val="18"/>
                <w:szCs w:val="18"/>
                <w:lang w:eastAsia="en-US"/>
              </w:rPr>
              <w:t xml:space="preserve"> </w:t>
            </w:r>
            <w:r w:rsidRPr="00A31C09">
              <w:rPr>
                <w:rFonts w:cs="Calibri"/>
                <w:sz w:val="18"/>
                <w:szCs w:val="18"/>
                <w:lang w:eastAsia="en-US"/>
              </w:rPr>
              <w:t xml:space="preserve">cualquier fuente de financiamiento. </w:t>
            </w:r>
            <w:proofErr w:type="spellStart"/>
            <w:r w:rsidRPr="00A31C09">
              <w:rPr>
                <w:rFonts w:cs="Calibri"/>
                <w:sz w:val="18"/>
                <w:szCs w:val="18"/>
                <w:lang w:eastAsia="en-US"/>
              </w:rPr>
              <w:t>Sercotec</w:t>
            </w:r>
            <w:proofErr w:type="spellEnd"/>
            <w:r w:rsidRPr="00A31C09">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2976E0">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2976E0">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272BC7"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2976E0">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521E0889" w:rsidR="000E3ACD" w:rsidRPr="00F46CA2" w:rsidRDefault="00F46CA2" w:rsidP="00361EEF">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15426B">
              <w:rPr>
                <w:rFonts w:cs="Calibri"/>
                <w:sz w:val="18"/>
                <w:szCs w:val="18"/>
              </w:rPr>
              <w:t>Atacama</w:t>
            </w:r>
            <w:r w:rsidRPr="00F46CA2">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272BC7" w:rsidP="006F3FCB">
            <w:pPr>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2976E0">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roofErr w:type="spellStart"/>
            <w:r w:rsidR="00C36F35" w:rsidRPr="002265E0">
              <w:rPr>
                <w:rFonts w:eastAsia="Arial Unicode MS" w:cs="Arial"/>
                <w:color w:val="000000"/>
                <w:sz w:val="18"/>
                <w:szCs w:val="22"/>
                <w:lang w:val="es-ES_tradnl"/>
              </w:rPr>
              <w:t>Sercotec</w:t>
            </w:r>
            <w:proofErr w:type="spellEnd"/>
            <w:r w:rsidR="00C36F35" w:rsidRPr="002265E0">
              <w:rPr>
                <w:rFonts w:eastAsia="Arial Unicode MS" w:cs="Arial"/>
                <w:color w:val="000000"/>
                <w:sz w:val="18"/>
                <w:szCs w:val="22"/>
                <w:lang w:val="es-ES_tradnl"/>
              </w:rPr>
              <w:t xml:space="preserve">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2976E0" w:rsidRPr="00B93A85" w14:paraId="40865B7C"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6B3F28D2" w14:textId="03E160C0" w:rsidR="002976E0" w:rsidRPr="002976E0" w:rsidRDefault="002976E0" w:rsidP="002976E0">
            <w:pPr>
              <w:pStyle w:val="Prrafodelista"/>
              <w:numPr>
                <w:ilvl w:val="0"/>
                <w:numId w:val="26"/>
              </w:numPr>
              <w:ind w:left="306" w:hanging="284"/>
              <w:contextualSpacing/>
              <w:jc w:val="both"/>
              <w:rPr>
                <w:rFonts w:eastAsia="Arial Unicode MS" w:cs="Arial"/>
                <w:color w:val="000000"/>
                <w:sz w:val="20"/>
                <w:szCs w:val="22"/>
              </w:rPr>
            </w:pPr>
            <w:r w:rsidRPr="002976E0">
              <w:rPr>
                <w:rFonts w:eastAsia="Arial Unicode MS" w:cs="Arial"/>
                <w:color w:val="000000"/>
                <w:sz w:val="20"/>
                <w:szCs w:val="22"/>
              </w:rPr>
              <w:t xml:space="preserve">En el caso de empresas del rubro alimentación, deberán presentar la resolución sanitaria que autoriza el desarrollo de la actividad productiva en la dirección comercial del negocio (las empresas pertenecientes al rubro alimentación y que no adjunten la resolución sanitaria, serán declaradas inadmisibles). </w:t>
            </w:r>
          </w:p>
        </w:tc>
        <w:tc>
          <w:tcPr>
            <w:tcW w:w="4364" w:type="dxa"/>
            <w:tcBorders>
              <w:top w:val="single" w:sz="4" w:space="0" w:color="auto"/>
              <w:left w:val="single" w:sz="4" w:space="0" w:color="auto"/>
              <w:bottom w:val="single" w:sz="4" w:space="0" w:color="auto"/>
              <w:right w:val="single" w:sz="4" w:space="0" w:color="auto"/>
            </w:tcBorders>
          </w:tcPr>
          <w:p w14:paraId="710DFBEB" w14:textId="7DB9D6A8" w:rsidR="002976E0" w:rsidRPr="00C91D77" w:rsidRDefault="002976E0" w:rsidP="00D86D9F">
            <w:pPr>
              <w:jc w:val="both"/>
              <w:rPr>
                <w:rFonts w:cs="Calibri"/>
                <w:sz w:val="18"/>
                <w:szCs w:val="18"/>
              </w:rPr>
            </w:pPr>
            <w:r>
              <w:rPr>
                <w:rFonts w:cs="Calibri"/>
                <w:sz w:val="18"/>
                <w:szCs w:val="18"/>
              </w:rPr>
              <w:t>Resolución sanitaria correspondiente.</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0FBDCFFC" w:rsidR="004C23D0" w:rsidRPr="00E111E0" w:rsidRDefault="00867075" w:rsidP="002265E0">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La iniciación de actividades de la empresa debe ser coherente con la focalización de la convocatoria.</w:t>
            </w:r>
            <w:r w:rsidR="00E111E0" w:rsidRPr="00E111E0">
              <w:rPr>
                <w:rFonts w:cs="Calibri"/>
                <w:sz w:val="18"/>
                <w:szCs w:val="18"/>
                <w:lang w:eastAsia="en-US"/>
              </w:rPr>
              <w:t xml:space="preserve">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lastRenderedPageBreak/>
              <w:t>Tener domicilio en el territorio focalizado de la convocatoria a la que postula y donde implementará su proyecto.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tributarias liquidadas morosas, asociadas al Rut de la empresa al momento de </w:t>
            </w:r>
            <w:r w:rsidRPr="009712D9">
              <w:rPr>
                <w:rFonts w:eastAsia="Arial Unicode MS" w:cs="Calibri"/>
                <w:sz w:val="18"/>
                <w:szCs w:val="18"/>
                <w:lang w:val="es-CL" w:eastAsia="en-US"/>
              </w:rPr>
              <w:lastRenderedPageBreak/>
              <w:t>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lastRenderedPageBreak/>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 xml:space="preserve">La fecha de emisión de este </w:t>
            </w:r>
            <w:r w:rsidR="00C43032" w:rsidRPr="00751CB1">
              <w:rPr>
                <w:rFonts w:eastAsia="Arial Unicode MS" w:cs="Calibri"/>
                <w:sz w:val="18"/>
                <w:szCs w:val="18"/>
              </w:rPr>
              <w:lastRenderedPageBreak/>
              <w:t>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6B7BAE6" w:rsidR="009712D9" w:rsidRPr="00C36F35" w:rsidRDefault="00734773" w:rsidP="00734773">
            <w:pPr>
              <w:pStyle w:val="Prrafodelista"/>
              <w:numPr>
                <w:ilvl w:val="0"/>
                <w:numId w:val="26"/>
              </w:numPr>
              <w:ind w:left="306" w:hanging="306"/>
              <w:contextualSpacing/>
              <w:jc w:val="both"/>
              <w:rPr>
                <w:rFonts w:eastAsia="Arial Unicode MS" w:cs="Calibri"/>
                <w:sz w:val="18"/>
                <w:szCs w:val="18"/>
                <w:lang w:val="es-CL" w:eastAsia="en-US"/>
              </w:rPr>
            </w:pPr>
            <w:r w:rsidRPr="00734773">
              <w:rPr>
                <w:rFonts w:eastAsia="Arial Unicode MS" w:cs="Calibri"/>
                <w:sz w:val="18"/>
                <w:szCs w:val="18"/>
                <w:lang w:eastAsia="en-US"/>
              </w:rPr>
              <w:t>No haber sido beneficiado del instrumento Crece año 2022 y 2023; Digitaliza tu Almacén años 2022 y 2023 y Recupera Turismo, Recupera Tu Pyme y cualquier Convocatoria Recupera año 2022</w:t>
            </w:r>
            <w:r>
              <w:rPr>
                <w:rFonts w:eastAsia="Arial Unicode MS" w:cs="Calibri"/>
                <w:sz w:val="18"/>
                <w:szCs w:val="18"/>
                <w:lang w:eastAsia="en-US"/>
              </w:rPr>
              <w:t>,</w:t>
            </w:r>
            <w:r w:rsidRPr="00734773">
              <w:rPr>
                <w:rFonts w:eastAsia="Arial Unicode MS" w:cs="Calibri"/>
                <w:sz w:val="18"/>
                <w:szCs w:val="18"/>
                <w:lang w:eastAsia="en-US"/>
              </w:rPr>
              <w:t xml:space="preserve"> cualquier fuente de financiamiento</w:t>
            </w:r>
            <w:r>
              <w:rPr>
                <w:rFonts w:eastAsia="Arial Unicode MS" w:cs="Calibri"/>
                <w:sz w:val="18"/>
                <w:szCs w:val="18"/>
                <w:lang w:eastAsia="en-US"/>
              </w:rPr>
              <w:t>.</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57A4AF3B" w:rsidR="008F095A" w:rsidRPr="009712D9" w:rsidRDefault="008F095A" w:rsidP="00734773">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89" w:name="_Toc342319843"/>
      <w:bookmarkStart w:id="90" w:name="_Toc320871832"/>
      <w:bookmarkStart w:id="91" w:name="_Toc348601375"/>
    </w:p>
    <w:p w14:paraId="41A26ADE" w14:textId="7CBE74B8" w:rsidR="009712D9" w:rsidRPr="00980343" w:rsidRDefault="00980343" w:rsidP="00980343">
      <w:pPr>
        <w:pStyle w:val="Ttulo20"/>
        <w:tabs>
          <w:tab w:val="clear" w:pos="709"/>
          <w:tab w:val="left" w:pos="284"/>
        </w:tabs>
        <w:rPr>
          <w:szCs w:val="22"/>
        </w:rPr>
      </w:pPr>
      <w:bookmarkStart w:id="92" w:name="_Toc103768352"/>
      <w:r w:rsidRPr="00980343">
        <w:rPr>
          <w:rFonts w:cs="Calibri"/>
          <w:sz w:val="20"/>
          <w:szCs w:val="18"/>
        </w:rPr>
        <w:t>DESARROLLO</w:t>
      </w:r>
      <w:bookmarkEnd w:id="92"/>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3"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3"/>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4"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5" w:name="_Toc342319844"/>
      <w:bookmarkStart w:id="96" w:name="_Toc320871833"/>
      <w:bookmarkEnd w:id="89"/>
      <w:bookmarkEnd w:id="90"/>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1"/>
      <w:bookmarkEnd w:id="94"/>
      <w:bookmarkEnd w:id="95"/>
      <w:bookmarkEnd w:id="96"/>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25705780"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 xml:space="preserve">________________ </w:t>
      </w:r>
      <w:proofErr w:type="spellStart"/>
      <w:r w:rsidR="00D866B3">
        <w:rPr>
          <w:rFonts w:eastAsia="Calibri" w:cs="Arial"/>
          <w:szCs w:val="22"/>
          <w:lang w:val="es-CL" w:eastAsia="en-US"/>
        </w:rPr>
        <w:t>de</w:t>
      </w:r>
      <w:proofErr w:type="spellEnd"/>
      <w:r w:rsidR="00D866B3">
        <w:rPr>
          <w:rFonts w:eastAsia="Calibri" w:cs="Arial"/>
          <w:szCs w:val="22"/>
          <w:lang w:val="es-CL" w:eastAsia="en-US"/>
        </w:rPr>
        <w:t xml:space="preserv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BA1F11">
        <w:rPr>
          <w:b/>
        </w:rPr>
        <w:t>MULTISECTORIAL</w:t>
      </w:r>
      <w:r w:rsidR="00C84733">
        <w:rPr>
          <w:b/>
        </w:rPr>
        <w:t xml:space="preserve">, Región de </w:t>
      </w:r>
      <w:r w:rsidR="0015426B">
        <w:rPr>
          <w:b/>
        </w:rPr>
        <w:t>Atacama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7" w:name="_Toc507191240"/>
      <w:bookmarkStart w:id="98" w:name="_Toc348601376"/>
      <w:r>
        <w:rPr>
          <w:rFonts w:eastAsia="Arial Unicode MS" w:cs="Arial"/>
          <w:b w:val="0"/>
          <w:bCs w:val="0"/>
          <w:iCs w:val="0"/>
        </w:rPr>
        <w:br w:type="page"/>
      </w:r>
      <w:bookmarkStart w:id="99" w:name="_Toc103768355"/>
      <w:r w:rsidR="004C23D0" w:rsidRPr="00F23922">
        <w:rPr>
          <w:szCs w:val="22"/>
        </w:rPr>
        <w:lastRenderedPageBreak/>
        <w:t xml:space="preserve">ANEXO N° </w:t>
      </w:r>
      <w:bookmarkEnd w:id="97"/>
      <w:r w:rsidR="007F6914" w:rsidRPr="00F23922">
        <w:rPr>
          <w:szCs w:val="22"/>
        </w:rPr>
        <w:t>4</w:t>
      </w:r>
      <w:bookmarkStart w:id="100" w:name="_Toc346882995"/>
      <w:bookmarkEnd w:id="98"/>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0"/>
      <w:r w:rsidR="009716D4" w:rsidRPr="00F23922">
        <w:rPr>
          <w:szCs w:val="22"/>
        </w:rPr>
        <w:t xml:space="preserve"> DE NO CONSANGUINEIDAD</w:t>
      </w:r>
      <w:bookmarkEnd w:id="99"/>
    </w:p>
    <w:p w14:paraId="1368A138" w14:textId="40752790" w:rsidR="004C23D0" w:rsidRPr="00B01147" w:rsidRDefault="004C23D0" w:rsidP="00B01147">
      <w:pPr>
        <w:pStyle w:val="Ttulo20"/>
        <w:tabs>
          <w:tab w:val="clear" w:pos="709"/>
          <w:tab w:val="left" w:pos="284"/>
        </w:tabs>
        <w:jc w:val="center"/>
        <w:rPr>
          <w:szCs w:val="22"/>
        </w:rPr>
      </w:pPr>
      <w:bookmarkStart w:id="101" w:name="_Toc31645651"/>
      <w:bookmarkStart w:id="102" w:name="_Toc31645832"/>
      <w:bookmarkStart w:id="103" w:name="_Toc103768356"/>
      <w:r w:rsidRPr="00B01147">
        <w:rPr>
          <w:szCs w:val="22"/>
        </w:rPr>
        <w:t>EN LA RENDICIÓN DE LOS GASTOS</w:t>
      </w:r>
      <w:bookmarkEnd w:id="101"/>
      <w:bookmarkEnd w:id="102"/>
      <w:bookmarkEnd w:id="103"/>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29"/>
          <w:headerReference w:type="default" r:id="rId30"/>
          <w:footerReference w:type="even" r:id="rId31"/>
          <w:footerReference w:type="default" r:id="rId32"/>
          <w:headerReference w:type="first" r:id="rId33"/>
          <w:footerReference w:type="first" r:id="rId34"/>
          <w:pgSz w:w="12240" w:h="15840" w:code="1"/>
          <w:pgMar w:top="1134" w:right="1701" w:bottom="1247" w:left="1701" w:header="709" w:footer="709" w:gutter="0"/>
          <w:cols w:space="708"/>
          <w:titlePg/>
          <w:docGrid w:linePitch="360"/>
        </w:sectPr>
      </w:pPr>
      <w:bookmarkStart w:id="104" w:name="_Toc31645652"/>
      <w:bookmarkStart w:id="105" w:name="_Toc31645833"/>
      <w:bookmarkStart w:id="106" w:name="_Toc103768357"/>
      <w:r>
        <w:t>N°</w:t>
      </w:r>
      <w:bookmarkEnd w:id="104"/>
      <w:bookmarkEnd w:id="105"/>
      <w:bookmarkEnd w:id="106"/>
    </w:p>
    <w:p w14:paraId="743546DE" w14:textId="31BE2506" w:rsidR="00632922" w:rsidRPr="005E13EE" w:rsidRDefault="00911BB4" w:rsidP="005E13EE">
      <w:pPr>
        <w:pStyle w:val="Ttulo20"/>
        <w:tabs>
          <w:tab w:val="clear" w:pos="709"/>
          <w:tab w:val="left" w:pos="284"/>
        </w:tabs>
        <w:jc w:val="center"/>
        <w:rPr>
          <w:szCs w:val="22"/>
        </w:rPr>
      </w:pPr>
      <w:bookmarkStart w:id="107"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7"/>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8"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8"/>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09"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09"/>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263"/>
        <w:gridCol w:w="8805"/>
        <w:gridCol w:w="850"/>
        <w:gridCol w:w="1335"/>
      </w:tblGrid>
      <w:tr w:rsidR="001F2E83" w:rsidRPr="004F6B61" w14:paraId="32D73F14" w14:textId="77777777" w:rsidTr="00B67BB6">
        <w:trPr>
          <w:jc w:val="center"/>
        </w:trPr>
        <w:tc>
          <w:tcPr>
            <w:tcW w:w="226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80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B67BB6">
        <w:trPr>
          <w:trHeight w:val="741"/>
          <w:jc w:val="center"/>
        </w:trPr>
        <w:tc>
          <w:tcPr>
            <w:tcW w:w="2263" w:type="dxa"/>
            <w:vMerge w:val="restart"/>
            <w:vAlign w:val="center"/>
            <w:hideMark/>
          </w:tcPr>
          <w:p w14:paraId="069BB238" w14:textId="388353B4" w:rsidR="008F0968" w:rsidRPr="00F34A81" w:rsidRDefault="008F0968" w:rsidP="00F34A81">
            <w:pPr>
              <w:pStyle w:val="Prrafodelista"/>
              <w:numPr>
                <w:ilvl w:val="1"/>
                <w:numId w:val="18"/>
              </w:numPr>
              <w:ind w:left="167" w:hanging="142"/>
              <w:rPr>
                <w:rFonts w:cstheme="minorHAnsi"/>
                <w:b/>
                <w:sz w:val="19"/>
                <w:szCs w:val="19"/>
              </w:rPr>
            </w:pPr>
            <w:r w:rsidRPr="00F34A81">
              <w:rPr>
                <w:rFonts w:cstheme="minorHAnsi"/>
                <w:b/>
                <w:sz w:val="19"/>
                <w:szCs w:val="19"/>
              </w:rPr>
              <w:t>Potencial d</w:t>
            </w:r>
            <w:r w:rsidR="003D39C8" w:rsidRPr="00F34A81">
              <w:rPr>
                <w:rFonts w:cstheme="minorHAnsi"/>
                <w:b/>
                <w:sz w:val="19"/>
                <w:szCs w:val="19"/>
              </w:rPr>
              <w:t>el</w:t>
            </w:r>
            <w:r w:rsidRPr="00F34A81">
              <w:rPr>
                <w:rFonts w:cstheme="minorHAnsi"/>
                <w:b/>
                <w:sz w:val="19"/>
                <w:szCs w:val="19"/>
              </w:rPr>
              <w:t xml:space="preserve"> </w:t>
            </w:r>
            <w:r w:rsidR="003D39C8" w:rsidRPr="00F34A81">
              <w:rPr>
                <w:rFonts w:cstheme="minorHAnsi"/>
                <w:b/>
                <w:sz w:val="19"/>
                <w:szCs w:val="19"/>
              </w:rPr>
              <w:t>Proyecto</w:t>
            </w:r>
            <w:r w:rsidRPr="00F34A81">
              <w:rPr>
                <w:rFonts w:cstheme="minorHAnsi"/>
                <w:b/>
                <w:sz w:val="19"/>
                <w:szCs w:val="19"/>
              </w:rPr>
              <w:t xml:space="preserve"> de Negocio</w:t>
            </w:r>
          </w:p>
        </w:tc>
        <w:tc>
          <w:tcPr>
            <w:tcW w:w="8805"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1DA49A8B" w:rsidR="008F0968" w:rsidRPr="00B203A1" w:rsidRDefault="00F34A81"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00B67BB6">
        <w:trPr>
          <w:trHeight w:val="683"/>
          <w:jc w:val="center"/>
        </w:trPr>
        <w:tc>
          <w:tcPr>
            <w:tcW w:w="2263"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8805"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B67BB6">
        <w:trPr>
          <w:jc w:val="center"/>
        </w:trPr>
        <w:tc>
          <w:tcPr>
            <w:tcW w:w="2263"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8805"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B67BB6">
        <w:trPr>
          <w:trHeight w:val="866"/>
          <w:jc w:val="center"/>
        </w:trPr>
        <w:tc>
          <w:tcPr>
            <w:tcW w:w="2263"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8805" w:type="dxa"/>
            <w:tcBorders>
              <w:bottom w:val="single" w:sz="4" w:space="0" w:color="auto"/>
            </w:tcBorders>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tcBorders>
              <w:bottom w:val="single" w:sz="4" w:space="0" w:color="auto"/>
            </w:tcBorders>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F34A81" w:rsidRPr="004F6B61" w14:paraId="0F0E32D9" w14:textId="77777777" w:rsidTr="00F34A81">
        <w:trPr>
          <w:trHeight w:val="408"/>
          <w:jc w:val="center"/>
        </w:trPr>
        <w:tc>
          <w:tcPr>
            <w:tcW w:w="2263" w:type="dxa"/>
            <w:vMerge w:val="restart"/>
            <w:vAlign w:val="center"/>
          </w:tcPr>
          <w:p w14:paraId="53EB076C" w14:textId="7C72ACBC" w:rsidR="00F34A81" w:rsidRPr="0077246D" w:rsidRDefault="00F34A81" w:rsidP="00F34A81">
            <w:pPr>
              <w:pStyle w:val="Prrafodelista"/>
              <w:numPr>
                <w:ilvl w:val="1"/>
                <w:numId w:val="18"/>
              </w:numPr>
              <w:ind w:left="167" w:hanging="142"/>
              <w:jc w:val="both"/>
              <w:rPr>
                <w:rFonts w:cstheme="minorHAnsi"/>
                <w:b/>
                <w:sz w:val="19"/>
                <w:szCs w:val="19"/>
                <w:lang w:val="es-CL" w:eastAsia="en-US"/>
              </w:rPr>
            </w:pPr>
            <w:r>
              <w:rPr>
                <w:rFonts w:eastAsia="Arial" w:cs="Arial"/>
                <w:color w:val="000000"/>
                <w:sz w:val="20"/>
                <w:szCs w:val="20"/>
              </w:rPr>
              <w:t>S</w:t>
            </w:r>
            <w:r w:rsidRPr="00C71BD8">
              <w:rPr>
                <w:rFonts w:eastAsia="Arial" w:cs="Arial"/>
                <w:color w:val="000000"/>
                <w:sz w:val="20"/>
                <w:szCs w:val="20"/>
              </w:rPr>
              <w:t>ello “40 horas” entregado por el Ministerio del Trabajo.</w:t>
            </w: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889246" w14:textId="565991DF" w:rsidR="00F34A81" w:rsidRPr="00F34A81" w:rsidRDefault="00F34A81" w:rsidP="00F34A81">
            <w:pPr>
              <w:jc w:val="both"/>
              <w:rPr>
                <w:rFonts w:cs="Arial"/>
                <w:bCs/>
                <w:color w:val="000000" w:themeColor="text1"/>
                <w:sz w:val="18"/>
                <w:szCs w:val="18"/>
              </w:rPr>
            </w:pPr>
            <w:r w:rsidRPr="00F34A81">
              <w:rPr>
                <w:rFonts w:cstheme="minorHAnsi"/>
                <w:sz w:val="18"/>
                <w:szCs w:val="18"/>
              </w:rPr>
              <w:t>Empresa</w:t>
            </w:r>
            <w:r w:rsidRPr="00F34A81">
              <w:rPr>
                <w:rFonts w:eastAsia="Arial" w:cs="Arial"/>
                <w:color w:val="000000"/>
                <w:sz w:val="18"/>
                <w:szCs w:val="18"/>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646071AD" w14:textId="453DEF4E" w:rsidR="00F34A81" w:rsidRPr="00F34A81" w:rsidRDefault="00F34A81" w:rsidP="00F34A81">
            <w:pPr>
              <w:jc w:val="center"/>
              <w:rPr>
                <w:rFonts w:cs="Arial"/>
                <w:bCs/>
                <w:color w:val="000000" w:themeColor="text1"/>
                <w:sz w:val="18"/>
                <w:szCs w:val="18"/>
              </w:rPr>
            </w:pPr>
            <w:r w:rsidRPr="00F34A81">
              <w:rPr>
                <w:rFonts w:eastAsia="Arial" w:cs="Calibri"/>
                <w:color w:val="000000"/>
                <w:sz w:val="18"/>
                <w:szCs w:val="18"/>
                <w:lang w:val="es-CL"/>
              </w:rPr>
              <w:t>7</w:t>
            </w:r>
          </w:p>
        </w:tc>
        <w:tc>
          <w:tcPr>
            <w:tcW w:w="1335" w:type="dxa"/>
            <w:vMerge w:val="restart"/>
            <w:vAlign w:val="center"/>
          </w:tcPr>
          <w:p w14:paraId="62F5E990" w14:textId="74124E43" w:rsidR="00F34A81" w:rsidRDefault="00F34A81" w:rsidP="00F34A81">
            <w:pPr>
              <w:jc w:val="center"/>
              <w:rPr>
                <w:rFonts w:cstheme="minorHAnsi"/>
                <w:sz w:val="19"/>
                <w:szCs w:val="19"/>
              </w:rPr>
            </w:pPr>
            <w:r>
              <w:rPr>
                <w:rFonts w:cstheme="minorHAnsi"/>
                <w:sz w:val="18"/>
                <w:szCs w:val="18"/>
              </w:rPr>
              <w:t>5%</w:t>
            </w:r>
          </w:p>
        </w:tc>
      </w:tr>
      <w:tr w:rsidR="00F34A81" w:rsidRPr="004F6B61" w14:paraId="5192C2FB" w14:textId="77777777" w:rsidTr="00272BC7">
        <w:trPr>
          <w:trHeight w:val="310"/>
          <w:jc w:val="center"/>
        </w:trPr>
        <w:tc>
          <w:tcPr>
            <w:tcW w:w="2263" w:type="dxa"/>
            <w:vMerge/>
            <w:vAlign w:val="center"/>
          </w:tcPr>
          <w:p w14:paraId="593D29CB" w14:textId="77777777" w:rsidR="00F34A81" w:rsidRPr="0077246D" w:rsidRDefault="00F34A81" w:rsidP="00F34A81">
            <w:pPr>
              <w:rPr>
                <w:rFonts w:cstheme="minorHAnsi"/>
                <w:b/>
                <w:sz w:val="19"/>
                <w:szCs w:val="19"/>
                <w:lang w:val="es-CL" w:eastAsia="en-US"/>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793168" w14:textId="7D5152C0" w:rsidR="00F34A81" w:rsidRPr="00F34A81" w:rsidRDefault="00F34A81" w:rsidP="00F34A81">
            <w:pPr>
              <w:jc w:val="both"/>
              <w:rPr>
                <w:rFonts w:cs="Arial"/>
                <w:bCs/>
                <w:color w:val="000000" w:themeColor="text1"/>
                <w:sz w:val="18"/>
                <w:szCs w:val="18"/>
              </w:rPr>
            </w:pPr>
            <w:r w:rsidRPr="00F34A81">
              <w:rPr>
                <w:rFonts w:cstheme="minorHAnsi"/>
                <w:sz w:val="18"/>
                <w:szCs w:val="18"/>
              </w:rPr>
              <w:t>Empresa</w:t>
            </w:r>
            <w:r w:rsidRPr="00F34A81">
              <w:rPr>
                <w:rFonts w:eastAsia="Arial" w:cs="Arial"/>
                <w:color w:val="000000"/>
                <w:sz w:val="18"/>
                <w:szCs w:val="18"/>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36692265" w14:textId="33E09E0A" w:rsidR="00F34A81" w:rsidRPr="00F34A81" w:rsidRDefault="00F34A81" w:rsidP="00F34A81">
            <w:pPr>
              <w:jc w:val="center"/>
              <w:rPr>
                <w:rFonts w:cs="Arial"/>
                <w:bCs/>
                <w:color w:val="000000" w:themeColor="text1"/>
                <w:sz w:val="18"/>
                <w:szCs w:val="18"/>
              </w:rPr>
            </w:pPr>
            <w:r w:rsidRPr="00F34A81">
              <w:rPr>
                <w:rFonts w:eastAsia="Arial" w:cs="Calibri"/>
                <w:color w:val="000000"/>
                <w:sz w:val="18"/>
                <w:szCs w:val="18"/>
                <w:lang w:val="es-CL"/>
              </w:rPr>
              <w:t>1</w:t>
            </w:r>
          </w:p>
        </w:tc>
        <w:tc>
          <w:tcPr>
            <w:tcW w:w="1335" w:type="dxa"/>
            <w:vMerge/>
            <w:vAlign w:val="center"/>
          </w:tcPr>
          <w:p w14:paraId="7A595EB2" w14:textId="77777777" w:rsidR="00F34A81" w:rsidRDefault="00F34A81" w:rsidP="00F34A81">
            <w:pPr>
              <w:jc w:val="center"/>
              <w:rPr>
                <w:rFonts w:cstheme="minorHAnsi"/>
                <w:sz w:val="19"/>
                <w:szCs w:val="19"/>
              </w:rPr>
            </w:pPr>
          </w:p>
        </w:tc>
      </w:tr>
      <w:tr w:rsidR="00F34A81" w:rsidRPr="004F6B61" w14:paraId="0EC35C67" w14:textId="77777777" w:rsidTr="00B67BB6">
        <w:trPr>
          <w:trHeight w:val="555"/>
          <w:jc w:val="center"/>
        </w:trPr>
        <w:tc>
          <w:tcPr>
            <w:tcW w:w="2263" w:type="dxa"/>
            <w:vMerge w:val="restart"/>
            <w:tcBorders>
              <w:right w:val="single" w:sz="4" w:space="0" w:color="auto"/>
            </w:tcBorders>
            <w:vAlign w:val="center"/>
          </w:tcPr>
          <w:p w14:paraId="3CA74807" w14:textId="5B33EA23" w:rsidR="00F34A81" w:rsidRPr="0077246D" w:rsidRDefault="00F34A81" w:rsidP="00F34A81">
            <w:pPr>
              <w:pStyle w:val="Prrafodelista"/>
              <w:numPr>
                <w:ilvl w:val="1"/>
                <w:numId w:val="18"/>
              </w:numPr>
              <w:ind w:left="167" w:hanging="142"/>
              <w:jc w:val="both"/>
              <w:rPr>
                <w:rFonts w:cstheme="minorHAnsi"/>
                <w:b/>
                <w:sz w:val="19"/>
                <w:szCs w:val="19"/>
                <w:lang w:eastAsia="en-US"/>
              </w:rPr>
            </w:pPr>
            <w:r>
              <w:rPr>
                <w:rFonts w:cstheme="minorHAnsi"/>
                <w:b/>
                <w:sz w:val="19"/>
                <w:szCs w:val="19"/>
                <w:lang w:val="es-CL" w:eastAsia="en-US"/>
              </w:rPr>
              <w:t xml:space="preserve"> </w:t>
            </w:r>
            <w:r w:rsidRPr="007B4EAF">
              <w:rPr>
                <w:rFonts w:cstheme="minorHAnsi"/>
                <w:b/>
                <w:bCs/>
                <w:sz w:val="19"/>
                <w:szCs w:val="19"/>
                <w:lang w:eastAsia="en-US"/>
              </w:rPr>
              <w:t xml:space="preserve">Aumento de Ventas, </w:t>
            </w:r>
            <w:r w:rsidRPr="00F34A81">
              <w:rPr>
                <w:rFonts w:eastAsia="Arial" w:cs="Arial"/>
                <w:color w:val="000000"/>
                <w:sz w:val="20"/>
                <w:szCs w:val="20"/>
              </w:rPr>
              <w:t>comparando</w:t>
            </w:r>
            <w:r w:rsidRPr="007B4EAF">
              <w:rPr>
                <w:rFonts w:cstheme="minorHAnsi"/>
                <w:b/>
                <w:bCs/>
                <w:sz w:val="19"/>
                <w:szCs w:val="19"/>
                <w:lang w:eastAsia="en-US"/>
              </w:rPr>
              <w:t xml:space="preserve"> el total de ventas del período 1 (enero-febrero - marzo  de </w:t>
            </w:r>
            <w:r w:rsidRPr="00F34A81">
              <w:rPr>
                <w:rFonts w:eastAsia="Arial" w:cs="Arial"/>
                <w:color w:val="000000"/>
                <w:sz w:val="20"/>
                <w:szCs w:val="20"/>
              </w:rPr>
              <w:t>2022</w:t>
            </w:r>
            <w:r w:rsidRPr="007B4EAF">
              <w:rPr>
                <w:rFonts w:cstheme="minorHAnsi"/>
                <w:b/>
                <w:bCs/>
                <w:sz w:val="19"/>
                <w:szCs w:val="19"/>
                <w:lang w:eastAsia="en-US"/>
              </w:rPr>
              <w:t xml:space="preserve">) con el total de ventas del </w:t>
            </w:r>
            <w:r>
              <w:rPr>
                <w:rFonts w:cstheme="minorHAnsi"/>
                <w:b/>
                <w:bCs/>
                <w:sz w:val="19"/>
                <w:szCs w:val="19"/>
                <w:lang w:eastAsia="en-US"/>
              </w:rPr>
              <w:lastRenderedPageBreak/>
              <w:t xml:space="preserve">período </w:t>
            </w:r>
            <w:r w:rsidRPr="007B4EAF">
              <w:rPr>
                <w:rFonts w:cstheme="minorHAnsi"/>
                <w:b/>
                <w:bCs/>
                <w:sz w:val="19"/>
                <w:szCs w:val="19"/>
                <w:lang w:eastAsia="en-US"/>
              </w:rPr>
              <w:t>enero- febrero - marzo  de 2023)</w:t>
            </w:r>
            <w:r>
              <w:rPr>
                <w:rStyle w:val="Refdenotaalpie"/>
                <w:rFonts w:cstheme="minorHAnsi"/>
                <w:b/>
                <w:bCs/>
                <w:sz w:val="19"/>
                <w:szCs w:val="19"/>
                <w:lang w:eastAsia="en-US"/>
              </w:rPr>
              <w:footnoteReference w:id="18"/>
            </w:r>
          </w:p>
        </w:tc>
        <w:tc>
          <w:tcPr>
            <w:tcW w:w="88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305D6" w14:textId="74D3DFDD" w:rsidR="00F34A81" w:rsidRPr="00F34A81" w:rsidRDefault="00F34A81" w:rsidP="00F34A81">
            <w:pPr>
              <w:jc w:val="both"/>
              <w:rPr>
                <w:rFonts w:cstheme="minorHAnsi"/>
                <w:color w:val="000000" w:themeColor="text1"/>
                <w:sz w:val="18"/>
                <w:szCs w:val="18"/>
              </w:rPr>
            </w:pPr>
            <w:r w:rsidRPr="00F34A81">
              <w:rPr>
                <w:rFonts w:cs="Arial"/>
                <w:bCs/>
                <w:color w:val="000000" w:themeColor="text1"/>
                <w:sz w:val="18"/>
                <w:szCs w:val="18"/>
              </w:rPr>
              <w:lastRenderedPageBreak/>
              <w:t>La empresa presenta un aumento igual o superior al 75%.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E604" w14:textId="5B292088" w:rsidR="00F34A81" w:rsidRPr="00F34A81" w:rsidRDefault="00F34A81" w:rsidP="00F34A81">
            <w:pPr>
              <w:jc w:val="center"/>
              <w:rPr>
                <w:rFonts w:cstheme="minorHAnsi"/>
                <w:color w:val="000000" w:themeColor="text1"/>
                <w:sz w:val="18"/>
                <w:szCs w:val="18"/>
                <w:lang w:val="es-CL" w:eastAsia="en-US"/>
              </w:rPr>
            </w:pPr>
            <w:r w:rsidRPr="00F34A81">
              <w:rPr>
                <w:rFonts w:cs="Arial"/>
                <w:bCs/>
                <w:color w:val="000000" w:themeColor="text1"/>
                <w:sz w:val="18"/>
                <w:szCs w:val="18"/>
              </w:rPr>
              <w:t>7</w:t>
            </w:r>
          </w:p>
        </w:tc>
        <w:tc>
          <w:tcPr>
            <w:tcW w:w="1335" w:type="dxa"/>
            <w:vMerge w:val="restart"/>
            <w:tcBorders>
              <w:left w:val="single" w:sz="4" w:space="0" w:color="auto"/>
            </w:tcBorders>
            <w:vAlign w:val="center"/>
          </w:tcPr>
          <w:p w14:paraId="401C0A49" w14:textId="28E66071" w:rsidR="00F34A81" w:rsidRDefault="00F34A81" w:rsidP="00F34A81">
            <w:pPr>
              <w:jc w:val="center"/>
              <w:rPr>
                <w:rFonts w:cstheme="minorHAnsi"/>
                <w:sz w:val="19"/>
                <w:szCs w:val="19"/>
              </w:rPr>
            </w:pPr>
            <w:r>
              <w:rPr>
                <w:rFonts w:cstheme="minorHAnsi"/>
                <w:sz w:val="19"/>
                <w:szCs w:val="19"/>
              </w:rPr>
              <w:t>30%</w:t>
            </w:r>
          </w:p>
        </w:tc>
      </w:tr>
      <w:tr w:rsidR="00F34A81" w:rsidRPr="004F6B61" w14:paraId="58BDB98B" w14:textId="77777777" w:rsidTr="00B67BB6">
        <w:trPr>
          <w:trHeight w:val="407"/>
          <w:jc w:val="center"/>
        </w:trPr>
        <w:tc>
          <w:tcPr>
            <w:tcW w:w="2263" w:type="dxa"/>
            <w:vMerge/>
            <w:tcBorders>
              <w:right w:val="single" w:sz="4" w:space="0" w:color="auto"/>
            </w:tcBorders>
            <w:vAlign w:val="center"/>
          </w:tcPr>
          <w:p w14:paraId="25A76311" w14:textId="77777777" w:rsidR="00F34A81" w:rsidRPr="0077246D" w:rsidRDefault="00F34A81" w:rsidP="00F34A81">
            <w:pPr>
              <w:rPr>
                <w:rFonts w:cstheme="minorHAnsi"/>
                <w:b/>
                <w:sz w:val="19"/>
                <w:szCs w:val="19"/>
              </w:rPr>
            </w:pPr>
          </w:p>
        </w:tc>
        <w:tc>
          <w:tcPr>
            <w:tcW w:w="88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03E4C" w14:textId="53D1E6A2" w:rsidR="00F34A81" w:rsidRPr="00F34A81" w:rsidRDefault="00F34A81" w:rsidP="00F34A81">
            <w:pPr>
              <w:jc w:val="both"/>
              <w:rPr>
                <w:rFonts w:eastAsia="Arial" w:cs="Arial"/>
                <w:color w:val="000000" w:themeColor="text1"/>
                <w:sz w:val="18"/>
                <w:szCs w:val="18"/>
              </w:rPr>
            </w:pPr>
            <w:r w:rsidRPr="00F34A81">
              <w:rPr>
                <w:rFonts w:cs="Arial"/>
                <w:bCs/>
                <w:color w:val="000000" w:themeColor="text1"/>
                <w:sz w:val="18"/>
                <w:szCs w:val="18"/>
              </w:rPr>
              <w:t>La empresa presenta un aumento de ventas igual o superior al 50% e inferior al  75%.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2A926" w14:textId="3689BDE7" w:rsidR="00F34A81" w:rsidRPr="00F34A81" w:rsidRDefault="00F34A81" w:rsidP="00F34A81">
            <w:pPr>
              <w:jc w:val="center"/>
              <w:rPr>
                <w:rFonts w:eastAsia="Arial" w:cs="Calibri"/>
                <w:color w:val="000000" w:themeColor="text1"/>
                <w:sz w:val="18"/>
                <w:szCs w:val="18"/>
                <w:lang w:val="es-CL"/>
              </w:rPr>
            </w:pPr>
            <w:r w:rsidRPr="00F34A81">
              <w:rPr>
                <w:rFonts w:cs="Arial"/>
                <w:color w:val="000000" w:themeColor="text1"/>
                <w:sz w:val="18"/>
                <w:szCs w:val="18"/>
              </w:rPr>
              <w:t>5</w:t>
            </w:r>
          </w:p>
        </w:tc>
        <w:tc>
          <w:tcPr>
            <w:tcW w:w="1335" w:type="dxa"/>
            <w:vMerge/>
            <w:tcBorders>
              <w:left w:val="single" w:sz="4" w:space="0" w:color="auto"/>
            </w:tcBorders>
            <w:vAlign w:val="center"/>
          </w:tcPr>
          <w:p w14:paraId="220FF1D8" w14:textId="77777777" w:rsidR="00F34A81" w:rsidRDefault="00F34A81" w:rsidP="00F34A81">
            <w:pPr>
              <w:jc w:val="center"/>
              <w:rPr>
                <w:rFonts w:cstheme="minorHAnsi"/>
                <w:sz w:val="19"/>
                <w:szCs w:val="19"/>
              </w:rPr>
            </w:pPr>
          </w:p>
        </w:tc>
      </w:tr>
      <w:tr w:rsidR="00F34A81" w:rsidRPr="004F6B61" w14:paraId="7C9A1E94" w14:textId="77777777" w:rsidTr="00B67BB6">
        <w:trPr>
          <w:trHeight w:val="695"/>
          <w:jc w:val="center"/>
        </w:trPr>
        <w:tc>
          <w:tcPr>
            <w:tcW w:w="2263" w:type="dxa"/>
            <w:vMerge/>
            <w:tcBorders>
              <w:right w:val="single" w:sz="4" w:space="0" w:color="auto"/>
            </w:tcBorders>
            <w:vAlign w:val="center"/>
          </w:tcPr>
          <w:p w14:paraId="50EDE74B" w14:textId="77777777" w:rsidR="00F34A81" w:rsidRPr="0077246D" w:rsidRDefault="00F34A81" w:rsidP="00F34A81">
            <w:pPr>
              <w:rPr>
                <w:rFonts w:cstheme="minorHAnsi"/>
                <w:b/>
                <w:sz w:val="19"/>
                <w:szCs w:val="19"/>
              </w:rPr>
            </w:pPr>
          </w:p>
        </w:tc>
        <w:tc>
          <w:tcPr>
            <w:tcW w:w="88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F1112" w14:textId="5D4713B8" w:rsidR="00F34A81" w:rsidRPr="00F34A81" w:rsidRDefault="00F34A81" w:rsidP="00F34A81">
            <w:pPr>
              <w:jc w:val="both"/>
              <w:rPr>
                <w:rFonts w:eastAsia="Arial" w:cs="Arial"/>
                <w:color w:val="000000" w:themeColor="text1"/>
                <w:sz w:val="18"/>
                <w:szCs w:val="18"/>
              </w:rPr>
            </w:pPr>
            <w:r w:rsidRPr="00F34A81">
              <w:rPr>
                <w:rFonts w:cs="Arial"/>
                <w:bCs/>
                <w:color w:val="000000" w:themeColor="text1"/>
                <w:sz w:val="18"/>
                <w:szCs w:val="18"/>
              </w:rPr>
              <w:t>La empresa presenta un aumento de ventas igual o superior al 25% e inferior al  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EBDCD" w14:textId="0ACC5AA8" w:rsidR="00F34A81" w:rsidRPr="00F34A81" w:rsidRDefault="00F34A81" w:rsidP="00F34A81">
            <w:pPr>
              <w:jc w:val="center"/>
              <w:rPr>
                <w:rFonts w:eastAsia="Arial" w:cs="Calibri"/>
                <w:color w:val="000000" w:themeColor="text1"/>
                <w:sz w:val="18"/>
                <w:szCs w:val="18"/>
                <w:lang w:val="es-CL"/>
              </w:rPr>
            </w:pPr>
            <w:r w:rsidRPr="00F34A81">
              <w:rPr>
                <w:rFonts w:cs="Arial"/>
                <w:color w:val="000000" w:themeColor="text1"/>
                <w:sz w:val="18"/>
                <w:szCs w:val="18"/>
              </w:rPr>
              <w:t>3</w:t>
            </w:r>
          </w:p>
        </w:tc>
        <w:tc>
          <w:tcPr>
            <w:tcW w:w="1335" w:type="dxa"/>
            <w:vMerge/>
            <w:tcBorders>
              <w:left w:val="single" w:sz="4" w:space="0" w:color="auto"/>
            </w:tcBorders>
            <w:vAlign w:val="center"/>
          </w:tcPr>
          <w:p w14:paraId="09542849" w14:textId="77777777" w:rsidR="00F34A81" w:rsidRDefault="00F34A81" w:rsidP="00F34A81">
            <w:pPr>
              <w:jc w:val="center"/>
              <w:rPr>
                <w:rFonts w:cstheme="minorHAnsi"/>
                <w:sz w:val="19"/>
                <w:szCs w:val="19"/>
              </w:rPr>
            </w:pPr>
          </w:p>
        </w:tc>
      </w:tr>
      <w:tr w:rsidR="00F34A81" w:rsidRPr="004F6B61" w14:paraId="514D2B1B" w14:textId="77777777" w:rsidTr="00B67BB6">
        <w:trPr>
          <w:trHeight w:val="567"/>
          <w:jc w:val="center"/>
        </w:trPr>
        <w:tc>
          <w:tcPr>
            <w:tcW w:w="2263" w:type="dxa"/>
            <w:vMerge/>
            <w:tcBorders>
              <w:right w:val="single" w:sz="4" w:space="0" w:color="auto"/>
            </w:tcBorders>
            <w:vAlign w:val="center"/>
          </w:tcPr>
          <w:p w14:paraId="77BC92A3" w14:textId="77777777" w:rsidR="00F34A81" w:rsidRPr="0077246D" w:rsidRDefault="00F34A81" w:rsidP="00F34A81">
            <w:pPr>
              <w:rPr>
                <w:rFonts w:cstheme="minorHAnsi"/>
                <w:b/>
                <w:sz w:val="19"/>
                <w:szCs w:val="19"/>
              </w:rPr>
            </w:pPr>
          </w:p>
        </w:tc>
        <w:tc>
          <w:tcPr>
            <w:tcW w:w="88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27266" w14:textId="142FEC1C" w:rsidR="00F34A81" w:rsidRPr="00F34A81" w:rsidRDefault="00F34A81" w:rsidP="00F34A81">
            <w:pPr>
              <w:jc w:val="both"/>
              <w:rPr>
                <w:rFonts w:cstheme="minorHAnsi"/>
                <w:color w:val="000000" w:themeColor="text1"/>
                <w:sz w:val="18"/>
                <w:szCs w:val="18"/>
              </w:rPr>
            </w:pPr>
            <w:r w:rsidRPr="00F34A81">
              <w:rPr>
                <w:rFonts w:cs="Arial"/>
                <w:bCs/>
                <w:color w:val="000000" w:themeColor="text1"/>
                <w:sz w:val="18"/>
                <w:szCs w:val="18"/>
              </w:rPr>
              <w:t>La empresa presenta un aumento de ventas  inferior al 25% o no presenta aumento.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B7E36" w14:textId="449E46E3" w:rsidR="00F34A81" w:rsidRPr="00F34A81" w:rsidRDefault="00F34A81" w:rsidP="00F34A81">
            <w:pPr>
              <w:jc w:val="center"/>
              <w:rPr>
                <w:rFonts w:cstheme="minorHAnsi"/>
                <w:color w:val="000000" w:themeColor="text1"/>
                <w:sz w:val="18"/>
                <w:szCs w:val="18"/>
                <w:lang w:val="es-CL" w:eastAsia="en-US"/>
              </w:rPr>
            </w:pPr>
            <w:r w:rsidRPr="00F34A81">
              <w:rPr>
                <w:rFonts w:cs="Arial"/>
                <w:color w:val="000000" w:themeColor="text1"/>
                <w:sz w:val="18"/>
                <w:szCs w:val="18"/>
              </w:rPr>
              <w:t>1</w:t>
            </w:r>
          </w:p>
        </w:tc>
        <w:tc>
          <w:tcPr>
            <w:tcW w:w="1335" w:type="dxa"/>
            <w:vMerge/>
            <w:tcBorders>
              <w:left w:val="single" w:sz="4" w:space="0" w:color="auto"/>
            </w:tcBorders>
            <w:vAlign w:val="center"/>
          </w:tcPr>
          <w:p w14:paraId="24259837" w14:textId="77777777" w:rsidR="00F34A81" w:rsidRDefault="00F34A81" w:rsidP="00F34A81">
            <w:pPr>
              <w:jc w:val="center"/>
              <w:rPr>
                <w:rFonts w:cstheme="minorHAnsi"/>
                <w:sz w:val="19"/>
                <w:szCs w:val="19"/>
              </w:rPr>
            </w:pPr>
          </w:p>
        </w:tc>
      </w:tr>
      <w:tr w:rsidR="00F34A81" w:rsidRPr="004F6B61" w14:paraId="558C355E" w14:textId="77777777" w:rsidTr="00B67BB6">
        <w:trPr>
          <w:trHeight w:val="567"/>
          <w:jc w:val="center"/>
        </w:trPr>
        <w:tc>
          <w:tcPr>
            <w:tcW w:w="2263" w:type="dxa"/>
            <w:vMerge w:val="restart"/>
            <w:tcBorders>
              <w:right w:val="single" w:sz="4" w:space="0" w:color="auto"/>
            </w:tcBorders>
            <w:vAlign w:val="center"/>
            <w:hideMark/>
          </w:tcPr>
          <w:p w14:paraId="5E63C2A3" w14:textId="79F60C2A" w:rsidR="00F34A81" w:rsidRPr="007B4EAF" w:rsidRDefault="00F34A81" w:rsidP="00F34A81">
            <w:pPr>
              <w:pStyle w:val="Prrafodelista"/>
              <w:numPr>
                <w:ilvl w:val="1"/>
                <w:numId w:val="18"/>
              </w:numPr>
              <w:ind w:left="167" w:hanging="142"/>
              <w:jc w:val="both"/>
              <w:rPr>
                <w:rFonts w:cstheme="minorHAnsi"/>
                <w:sz w:val="19"/>
                <w:szCs w:val="19"/>
                <w:lang w:val="es-CL" w:eastAsia="en-US"/>
              </w:rPr>
            </w:pPr>
            <w:r w:rsidRPr="00F34A81">
              <w:rPr>
                <w:rFonts w:cstheme="minorHAnsi"/>
                <w:b/>
                <w:bCs/>
                <w:sz w:val="19"/>
                <w:szCs w:val="19"/>
                <w:lang w:eastAsia="en-US"/>
              </w:rPr>
              <w:lastRenderedPageBreak/>
              <w:t>Descentralización</w:t>
            </w:r>
            <w:r w:rsidRPr="007B4EAF">
              <w:rPr>
                <w:rFonts w:cstheme="minorHAnsi"/>
                <w:sz w:val="19"/>
                <w:szCs w:val="19"/>
                <w:lang w:eastAsia="en-US"/>
              </w:rPr>
              <w:t xml:space="preserve"> Regional y zonas rezagadas</w:t>
            </w:r>
          </w:p>
        </w:tc>
        <w:tc>
          <w:tcPr>
            <w:tcW w:w="88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291B4" w14:textId="7F5474BC" w:rsidR="00F34A81" w:rsidRPr="001A38AF" w:rsidRDefault="00F34A81" w:rsidP="00F34A81">
            <w:pPr>
              <w:jc w:val="both"/>
              <w:rPr>
                <w:rFonts w:cstheme="minorHAnsi"/>
                <w:color w:val="000000" w:themeColor="text1"/>
                <w:sz w:val="18"/>
                <w:szCs w:val="19"/>
              </w:rPr>
            </w:pPr>
            <w:r>
              <w:rPr>
                <w:rFonts w:cs="Arial"/>
                <w:bCs/>
                <w:color w:val="000000" w:themeColor="text1"/>
                <w:sz w:val="18"/>
                <w:szCs w:val="22"/>
                <w:lang w:val="es-CL"/>
              </w:rPr>
              <w:t>Empresa con d</w:t>
            </w:r>
            <w:r w:rsidRPr="001A38AF">
              <w:rPr>
                <w:rFonts w:cs="Arial"/>
                <w:bCs/>
                <w:color w:val="000000" w:themeColor="text1"/>
                <w:sz w:val="18"/>
                <w:szCs w:val="22"/>
                <w:lang w:val="es-CL"/>
              </w:rPr>
              <w:t xml:space="preserve">omicilio comercial en la comuna de </w:t>
            </w:r>
            <w:proofErr w:type="spellStart"/>
            <w:r w:rsidRPr="001A38AF">
              <w:rPr>
                <w:rFonts w:cs="Arial"/>
                <w:bCs/>
                <w:color w:val="000000" w:themeColor="text1"/>
                <w:sz w:val="18"/>
                <w:szCs w:val="22"/>
                <w:lang w:val="es-CL"/>
              </w:rPr>
              <w:t>Freirina</w:t>
            </w:r>
            <w:proofErr w:type="spellEnd"/>
            <w:r w:rsidRPr="001A38AF">
              <w:rPr>
                <w:rFonts w:cs="Arial"/>
                <w:bCs/>
                <w:color w:val="000000" w:themeColor="text1"/>
                <w:sz w:val="18"/>
                <w:szCs w:val="22"/>
                <w:lang w:val="es-CL"/>
              </w:rPr>
              <w:t>.</w:t>
            </w:r>
            <w:r w:rsidRPr="001A38AF">
              <w:rPr>
                <w:rFonts w:ascii="Calibri" w:hAnsi="Calibri" w:cs="Calibri"/>
                <w:bCs/>
                <w:color w:val="000000" w:themeColor="text1"/>
                <w:sz w:val="18"/>
                <w:szCs w:val="22"/>
                <w:lang w:val="es-CL"/>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C5D2A" w14:textId="3DA61804" w:rsidR="00F34A81" w:rsidRPr="001A38AF" w:rsidRDefault="00F34A81" w:rsidP="00F34A81">
            <w:pPr>
              <w:jc w:val="center"/>
              <w:rPr>
                <w:rFonts w:cstheme="minorHAnsi"/>
                <w:color w:val="000000" w:themeColor="text1"/>
                <w:sz w:val="18"/>
                <w:szCs w:val="19"/>
                <w:lang w:val="es-CL" w:eastAsia="en-US"/>
              </w:rPr>
            </w:pPr>
            <w:r w:rsidRPr="001A38AF">
              <w:rPr>
                <w:rFonts w:cs="Arial"/>
                <w:bCs/>
                <w:color w:val="000000" w:themeColor="text1"/>
                <w:sz w:val="18"/>
                <w:szCs w:val="22"/>
                <w:lang w:val="es-CL"/>
              </w:rPr>
              <w:t>7</w:t>
            </w:r>
          </w:p>
        </w:tc>
        <w:tc>
          <w:tcPr>
            <w:tcW w:w="1335" w:type="dxa"/>
            <w:vMerge w:val="restart"/>
            <w:tcBorders>
              <w:left w:val="single" w:sz="4" w:space="0" w:color="auto"/>
            </w:tcBorders>
            <w:vAlign w:val="center"/>
            <w:hideMark/>
          </w:tcPr>
          <w:p w14:paraId="0B0EE5A2" w14:textId="6FCB4ADD" w:rsidR="00F34A81" w:rsidRPr="0077246D" w:rsidRDefault="00F34A81" w:rsidP="00F34A81">
            <w:pPr>
              <w:jc w:val="center"/>
              <w:rPr>
                <w:rFonts w:cstheme="minorHAnsi"/>
                <w:sz w:val="19"/>
                <w:szCs w:val="19"/>
              </w:rPr>
            </w:pPr>
            <w:r>
              <w:rPr>
                <w:rFonts w:cstheme="minorHAnsi"/>
                <w:sz w:val="19"/>
                <w:szCs w:val="19"/>
              </w:rPr>
              <w:t>3</w:t>
            </w:r>
            <w:r w:rsidRPr="0077246D">
              <w:rPr>
                <w:rFonts w:cstheme="minorHAnsi"/>
                <w:sz w:val="19"/>
                <w:szCs w:val="19"/>
              </w:rPr>
              <w:t>0%</w:t>
            </w:r>
          </w:p>
        </w:tc>
      </w:tr>
      <w:tr w:rsidR="00F34A81" w:rsidRPr="004F6B61" w14:paraId="72E89F7F" w14:textId="77777777" w:rsidTr="00B67BB6">
        <w:trPr>
          <w:trHeight w:val="567"/>
          <w:jc w:val="center"/>
        </w:trPr>
        <w:tc>
          <w:tcPr>
            <w:tcW w:w="2263" w:type="dxa"/>
            <w:vMerge/>
            <w:tcBorders>
              <w:right w:val="single" w:sz="4" w:space="0" w:color="auto"/>
            </w:tcBorders>
            <w:vAlign w:val="center"/>
          </w:tcPr>
          <w:p w14:paraId="1A5F8521" w14:textId="77777777" w:rsidR="00F34A81" w:rsidRPr="0077246D" w:rsidRDefault="00F34A81" w:rsidP="00F34A81">
            <w:pPr>
              <w:rPr>
                <w:rFonts w:cstheme="minorHAnsi"/>
                <w:sz w:val="19"/>
                <w:szCs w:val="19"/>
                <w:lang w:val="es-CL" w:eastAsia="en-US"/>
              </w:rPr>
            </w:pPr>
          </w:p>
        </w:tc>
        <w:tc>
          <w:tcPr>
            <w:tcW w:w="88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300A7" w14:textId="3922705A" w:rsidR="00F34A81" w:rsidRPr="001A38AF" w:rsidRDefault="00F34A81" w:rsidP="00F34A81">
            <w:pPr>
              <w:jc w:val="both"/>
              <w:rPr>
                <w:rFonts w:eastAsia="Arial" w:cs="Arial"/>
                <w:color w:val="000000" w:themeColor="text1"/>
                <w:sz w:val="18"/>
                <w:szCs w:val="22"/>
              </w:rPr>
            </w:pPr>
            <w:r>
              <w:rPr>
                <w:rFonts w:cs="Arial"/>
                <w:bCs/>
                <w:color w:val="000000" w:themeColor="text1"/>
                <w:sz w:val="18"/>
                <w:szCs w:val="22"/>
                <w:lang w:val="es-CL"/>
              </w:rPr>
              <w:t>Empresa con d</w:t>
            </w:r>
            <w:r w:rsidRPr="001A38AF">
              <w:rPr>
                <w:rFonts w:cs="Arial"/>
                <w:bCs/>
                <w:color w:val="000000" w:themeColor="text1"/>
                <w:sz w:val="18"/>
                <w:szCs w:val="22"/>
                <w:lang w:val="es-CL"/>
              </w:rPr>
              <w:t xml:space="preserve">omicilio comercial en alguna de las siguientes comunas: Alto del Carmen, Vallenar, </w:t>
            </w:r>
            <w:proofErr w:type="spellStart"/>
            <w:r w:rsidRPr="001A38AF">
              <w:rPr>
                <w:rFonts w:cs="Arial"/>
                <w:bCs/>
                <w:color w:val="000000" w:themeColor="text1"/>
                <w:sz w:val="18"/>
                <w:szCs w:val="22"/>
                <w:lang w:val="es-CL"/>
              </w:rPr>
              <w:t>Huasco</w:t>
            </w:r>
            <w:proofErr w:type="spellEnd"/>
            <w:r w:rsidRPr="001A38AF">
              <w:rPr>
                <w:rFonts w:cs="Arial"/>
                <w:bCs/>
                <w:color w:val="000000" w:themeColor="text1"/>
                <w:sz w:val="18"/>
                <w:szCs w:val="22"/>
                <w:lang w:val="es-CL"/>
              </w:rPr>
              <w:t xml:space="preserve">, Tierra Amarilla, Caldera, </w:t>
            </w:r>
            <w:proofErr w:type="spellStart"/>
            <w:r w:rsidRPr="001A38AF">
              <w:rPr>
                <w:rFonts w:cs="Arial"/>
                <w:bCs/>
                <w:color w:val="000000" w:themeColor="text1"/>
                <w:sz w:val="18"/>
                <w:szCs w:val="22"/>
                <w:lang w:val="es-CL"/>
              </w:rPr>
              <w:t>Chañaral</w:t>
            </w:r>
            <w:proofErr w:type="spellEnd"/>
            <w:r w:rsidRPr="001A38AF">
              <w:rPr>
                <w:rFonts w:cs="Arial"/>
                <w:bCs/>
                <w:color w:val="000000" w:themeColor="text1"/>
                <w:sz w:val="18"/>
                <w:szCs w:val="22"/>
                <w:lang w:val="es-CL"/>
              </w:rPr>
              <w:t xml:space="preserve"> o Diego de Almagro.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CF351" w14:textId="5D028FDB" w:rsidR="00F34A81" w:rsidRPr="001A38AF" w:rsidRDefault="00F34A81" w:rsidP="00F34A81">
            <w:pPr>
              <w:jc w:val="center"/>
              <w:rPr>
                <w:rFonts w:eastAsia="Arial" w:cs="Calibri"/>
                <w:color w:val="000000" w:themeColor="text1"/>
                <w:sz w:val="18"/>
                <w:szCs w:val="22"/>
                <w:lang w:val="es-CL"/>
              </w:rPr>
            </w:pPr>
            <w:r w:rsidRPr="001A38AF">
              <w:rPr>
                <w:rFonts w:cs="Arial"/>
                <w:color w:val="000000" w:themeColor="text1"/>
                <w:sz w:val="18"/>
                <w:szCs w:val="22"/>
                <w:lang w:val="es-CL"/>
              </w:rPr>
              <w:t>5</w:t>
            </w:r>
          </w:p>
        </w:tc>
        <w:tc>
          <w:tcPr>
            <w:tcW w:w="1335" w:type="dxa"/>
            <w:vMerge/>
            <w:tcBorders>
              <w:left w:val="single" w:sz="4" w:space="0" w:color="auto"/>
            </w:tcBorders>
            <w:vAlign w:val="center"/>
          </w:tcPr>
          <w:p w14:paraId="3CCF2C70" w14:textId="77777777" w:rsidR="00F34A81" w:rsidRPr="00B203A1" w:rsidRDefault="00F34A81" w:rsidP="00F34A81">
            <w:pPr>
              <w:rPr>
                <w:rFonts w:cstheme="minorHAnsi"/>
                <w:b/>
                <w:sz w:val="19"/>
                <w:szCs w:val="19"/>
                <w:lang w:val="es-CL" w:eastAsia="en-US"/>
              </w:rPr>
            </w:pPr>
          </w:p>
        </w:tc>
      </w:tr>
      <w:tr w:rsidR="00F34A81" w:rsidRPr="004F6B61" w14:paraId="01BA91AC" w14:textId="77777777" w:rsidTr="00B67BB6">
        <w:trPr>
          <w:trHeight w:val="567"/>
          <w:jc w:val="center"/>
        </w:trPr>
        <w:tc>
          <w:tcPr>
            <w:tcW w:w="2263" w:type="dxa"/>
            <w:vMerge/>
            <w:tcBorders>
              <w:right w:val="single" w:sz="4" w:space="0" w:color="auto"/>
            </w:tcBorders>
            <w:vAlign w:val="center"/>
            <w:hideMark/>
          </w:tcPr>
          <w:p w14:paraId="294CFA8F" w14:textId="77777777" w:rsidR="00F34A81" w:rsidRPr="0077246D" w:rsidRDefault="00F34A81" w:rsidP="00F34A81">
            <w:pPr>
              <w:rPr>
                <w:rFonts w:cstheme="minorHAnsi"/>
                <w:sz w:val="19"/>
                <w:szCs w:val="19"/>
                <w:lang w:val="es-CL" w:eastAsia="en-US"/>
              </w:rPr>
            </w:pPr>
          </w:p>
        </w:tc>
        <w:tc>
          <w:tcPr>
            <w:tcW w:w="88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142D1" w14:textId="6F67E0F9" w:rsidR="00F34A81" w:rsidRPr="001A38AF" w:rsidRDefault="00F34A81" w:rsidP="00F34A81">
            <w:pPr>
              <w:jc w:val="both"/>
              <w:rPr>
                <w:rFonts w:cstheme="minorHAnsi"/>
                <w:color w:val="000000" w:themeColor="text1"/>
                <w:sz w:val="18"/>
                <w:szCs w:val="19"/>
              </w:rPr>
            </w:pPr>
            <w:r>
              <w:rPr>
                <w:rFonts w:cs="Arial"/>
                <w:bCs/>
                <w:color w:val="000000" w:themeColor="text1"/>
                <w:sz w:val="18"/>
                <w:szCs w:val="22"/>
                <w:lang w:val="es-CL"/>
              </w:rPr>
              <w:t>Empresa con d</w:t>
            </w:r>
            <w:r w:rsidRPr="001A38AF">
              <w:rPr>
                <w:rFonts w:cs="Arial"/>
                <w:bCs/>
                <w:color w:val="000000" w:themeColor="text1"/>
                <w:sz w:val="18"/>
                <w:szCs w:val="22"/>
                <w:lang w:val="es-CL"/>
              </w:rPr>
              <w:t>omicilio comercial en la comuna de Copiapó.</w:t>
            </w:r>
            <w:r w:rsidRPr="001A38AF">
              <w:rPr>
                <w:rFonts w:ascii="Calibri" w:hAnsi="Calibri" w:cs="Calibri"/>
                <w:bCs/>
                <w:color w:val="000000" w:themeColor="text1"/>
                <w:sz w:val="18"/>
                <w:szCs w:val="22"/>
                <w:lang w:val="es-CL"/>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D21B9" w14:textId="2F8A3565" w:rsidR="00F34A81" w:rsidRPr="001A38AF" w:rsidRDefault="00F34A81" w:rsidP="00F34A81">
            <w:pPr>
              <w:jc w:val="center"/>
              <w:rPr>
                <w:rFonts w:cstheme="minorHAnsi"/>
                <w:color w:val="000000" w:themeColor="text1"/>
                <w:sz w:val="18"/>
                <w:szCs w:val="19"/>
                <w:lang w:val="es-CL" w:eastAsia="en-US"/>
              </w:rPr>
            </w:pPr>
            <w:r w:rsidRPr="001A38AF">
              <w:rPr>
                <w:rFonts w:cs="Arial"/>
                <w:color w:val="000000" w:themeColor="text1"/>
                <w:sz w:val="18"/>
                <w:szCs w:val="22"/>
                <w:lang w:val="es-CL"/>
              </w:rPr>
              <w:t>3</w:t>
            </w:r>
          </w:p>
        </w:tc>
        <w:tc>
          <w:tcPr>
            <w:tcW w:w="1335" w:type="dxa"/>
            <w:vMerge/>
            <w:tcBorders>
              <w:left w:val="single" w:sz="4" w:space="0" w:color="auto"/>
            </w:tcBorders>
            <w:vAlign w:val="center"/>
            <w:hideMark/>
          </w:tcPr>
          <w:p w14:paraId="756368DB" w14:textId="77777777" w:rsidR="00F34A81" w:rsidRPr="00B203A1" w:rsidRDefault="00F34A81" w:rsidP="00F34A81">
            <w:pPr>
              <w:rPr>
                <w:rFonts w:cstheme="minorHAnsi"/>
                <w:b/>
                <w:sz w:val="19"/>
                <w:szCs w:val="19"/>
                <w:lang w:val="es-CL" w:eastAsia="en-US"/>
              </w:rPr>
            </w:pPr>
          </w:p>
        </w:tc>
      </w:tr>
    </w:tbl>
    <w:p w14:paraId="73C2E332" w14:textId="3DC76A01"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10C8A46D" w:rsidR="0093178B" w:rsidRPr="00137ECD" w:rsidRDefault="007C5BB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272BC7" w:rsidP="0093178B">
      <w:pPr>
        <w:jc w:val="both"/>
        <w:rPr>
          <w:rFonts w:eastAsia="Arial Unicode MS" w:cs="Arial"/>
        </w:rPr>
      </w:pPr>
      <w:hyperlink r:id="rId35"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1DAD2" w14:textId="77777777" w:rsidR="007C1452" w:rsidRDefault="007C1452" w:rsidP="0042236C">
      <w:r>
        <w:separator/>
      </w:r>
    </w:p>
  </w:endnote>
  <w:endnote w:type="continuationSeparator" w:id="0">
    <w:p w14:paraId="030FA92E" w14:textId="77777777" w:rsidR="007C1452" w:rsidRDefault="007C145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272BC7" w:rsidRDefault="00272BC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0307326" w:rsidR="00272BC7" w:rsidRPr="00BD14F7" w:rsidRDefault="00272BC7">
    <w:pPr>
      <w:pStyle w:val="Piedepgina"/>
      <w:jc w:val="right"/>
    </w:pPr>
    <w:r w:rsidRPr="00BD14F7">
      <w:fldChar w:fldCharType="begin"/>
    </w:r>
    <w:r w:rsidRPr="00BD14F7">
      <w:instrText>PAGE   \* MERGEFORMAT</w:instrText>
    </w:r>
    <w:r w:rsidRPr="00BD14F7">
      <w:fldChar w:fldCharType="separate"/>
    </w:r>
    <w:r w:rsidR="002600D3">
      <w:rPr>
        <w:noProof/>
      </w:rPr>
      <w:t>57</w:t>
    </w:r>
    <w:r w:rsidRPr="00BD14F7">
      <w:rPr>
        <w:noProof/>
      </w:rPr>
      <w:fldChar w:fldCharType="end"/>
    </w:r>
  </w:p>
  <w:p w14:paraId="5F9E5B17" w14:textId="77777777" w:rsidR="00272BC7" w:rsidRPr="00C25B42" w:rsidRDefault="00272BC7" w:rsidP="00C25B42">
    <w:pPr>
      <w:tabs>
        <w:tab w:val="center" w:pos="4252"/>
        <w:tab w:val="right" w:pos="8504"/>
      </w:tabs>
      <w:jc w:val="center"/>
      <w:rPr>
        <w:sz w:val="24"/>
      </w:rPr>
    </w:pPr>
    <w:r w:rsidRPr="00C25B42">
      <w:rPr>
        <w:noProof/>
        <w:sz w:val="24"/>
        <w:lang w:val="es-CL" w:eastAsia="es-CL"/>
      </w:rPr>
      <w:t>www.sercotec.cl</w:t>
    </w:r>
  </w:p>
  <w:p w14:paraId="5919636F" w14:textId="77777777" w:rsidR="00272BC7" w:rsidRDefault="00272BC7"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Content>
      <w:p w14:paraId="74B540F9" w14:textId="7628FB55" w:rsidR="00272BC7" w:rsidRDefault="00272BC7">
        <w:pPr>
          <w:pStyle w:val="Piedepgina"/>
          <w:jc w:val="right"/>
        </w:pPr>
        <w:r>
          <w:fldChar w:fldCharType="begin"/>
        </w:r>
        <w:r>
          <w:instrText>PAGE   \* MERGEFORMAT</w:instrText>
        </w:r>
        <w:r>
          <w:fldChar w:fldCharType="separate"/>
        </w:r>
        <w:r w:rsidR="002600D3">
          <w:rPr>
            <w:noProof/>
          </w:rPr>
          <w:t>56</w:t>
        </w:r>
        <w:r>
          <w:fldChar w:fldCharType="end"/>
        </w:r>
      </w:p>
    </w:sdtContent>
  </w:sdt>
  <w:p w14:paraId="1A156B1C" w14:textId="06D356CA" w:rsidR="00272BC7" w:rsidRDefault="00272BC7"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10D88" w14:textId="77777777" w:rsidR="007C1452" w:rsidRDefault="007C1452"/>
  </w:footnote>
  <w:footnote w:type="continuationSeparator" w:id="0">
    <w:p w14:paraId="4CBD79B3" w14:textId="77777777" w:rsidR="007C1452" w:rsidRDefault="007C1452"/>
  </w:footnote>
  <w:footnote w:id="1">
    <w:p w14:paraId="553DF13E" w14:textId="78B2736A" w:rsidR="00272BC7" w:rsidRPr="004244F2" w:rsidRDefault="00272BC7"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272BC7" w:rsidRPr="0070407B" w:rsidRDefault="00272BC7"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272BC7" w:rsidRPr="002E7EE6" w:rsidRDefault="00272BC7"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272BC7" w:rsidRPr="002E7EE6" w:rsidRDefault="00272BC7">
      <w:pPr>
        <w:pStyle w:val="Textonotapie"/>
        <w:rPr>
          <w:lang w:val="es-419"/>
        </w:rPr>
      </w:pPr>
    </w:p>
  </w:footnote>
  <w:footnote w:id="4">
    <w:p w14:paraId="7597D5E8" w14:textId="77777777" w:rsidR="00272BC7" w:rsidRPr="00273436" w:rsidRDefault="00272BC7"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272BC7" w:rsidRPr="005F4396" w:rsidRDefault="00272BC7">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272BC7" w:rsidRPr="002B0090" w:rsidRDefault="00272BC7"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364BF90B" w14:textId="77777777" w:rsidR="00272BC7" w:rsidRPr="00A43847" w:rsidRDefault="00272BC7">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272BC7" w:rsidRPr="00D4342C" w:rsidRDefault="00272BC7" w:rsidP="00D4342C">
      <w:pPr>
        <w:pStyle w:val="Textonotapie"/>
      </w:pPr>
    </w:p>
  </w:footnote>
  <w:footnote w:id="9">
    <w:p w14:paraId="0A3FD0F5" w14:textId="77777777" w:rsidR="00272BC7" w:rsidRPr="00012C13" w:rsidRDefault="00272BC7"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272BC7" w:rsidRPr="00686FCB" w:rsidRDefault="00272BC7"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272BC7" w:rsidRPr="00023CC5" w:rsidRDefault="00272BC7">
      <w:pPr>
        <w:pStyle w:val="Textonotapie"/>
        <w:rPr>
          <w:lang w:val="es-MX"/>
        </w:rPr>
      </w:pPr>
    </w:p>
  </w:footnote>
  <w:footnote w:id="11">
    <w:p w14:paraId="1665FABF" w14:textId="011C2DCA" w:rsidR="00272BC7" w:rsidRPr="004746C2" w:rsidRDefault="00272BC7"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272BC7" w:rsidRPr="004746C2" w:rsidRDefault="00272BC7">
      <w:pPr>
        <w:pStyle w:val="Textonotapie"/>
        <w:rPr>
          <w:szCs w:val="18"/>
          <w:lang w:val="es-ES"/>
        </w:rPr>
      </w:pPr>
    </w:p>
  </w:footnote>
  <w:footnote w:id="12">
    <w:p w14:paraId="5CA30445" w14:textId="77777777" w:rsidR="00272BC7" w:rsidRPr="002B75C6" w:rsidRDefault="00272BC7"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272BC7" w:rsidRPr="00A75D6D" w:rsidRDefault="00272BC7"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272BC7" w:rsidRPr="004B1C4D" w:rsidRDefault="00272BC7"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272BC7" w:rsidRPr="004B1C4D" w:rsidRDefault="00272BC7">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272BC7" w:rsidRPr="00973621" w:rsidRDefault="00272BC7"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272BC7" w:rsidRDefault="00272BC7"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18">
    <w:p w14:paraId="577358C2" w14:textId="2EA7F6AE" w:rsidR="00272BC7" w:rsidRPr="00B67BB6" w:rsidRDefault="00272BC7" w:rsidP="00B67BB6">
      <w:r>
        <w:rPr>
          <w:rStyle w:val="Refdenotaalpie"/>
        </w:rPr>
        <w:footnoteRef/>
      </w:r>
      <w:r>
        <w:t xml:space="preserve"> </w:t>
      </w:r>
      <w:r w:rsidRPr="00B67BB6">
        <w:t>Este requisito no se evaluará en empresas postulantes con menos de un año de inicio de actividades al momento de la postulación, se evaluará el criterio 1 con una pon</w:t>
      </w:r>
      <w:r>
        <w:t>deración del 55%, el criterio 2 con una ponderación del 5% y el 3 con una ponderación de 40</w:t>
      </w:r>
      <w:bookmarkStart w:id="110" w:name="_GoBack"/>
      <w:bookmarkEnd w:id="110"/>
      <w:r>
        <w:t>%.</w:t>
      </w:r>
    </w:p>
    <w:p w14:paraId="480AF268" w14:textId="61DB876C" w:rsidR="00272BC7" w:rsidRPr="00B67BB6" w:rsidRDefault="00272BC7">
      <w:pPr>
        <w:pStyle w:val="Textonotapie"/>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272BC7" w:rsidRDefault="00272BC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272BC7" w:rsidRDefault="00272BC7"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272BC7" w:rsidRDefault="00272BC7"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272BC7" w:rsidRDefault="00272BC7">
    <w:pPr>
      <w:pStyle w:val="Encabezado"/>
      <w:jc w:val="right"/>
    </w:pPr>
  </w:p>
  <w:p w14:paraId="69A0911A" w14:textId="77777777" w:rsidR="00272BC7" w:rsidRDefault="00272BC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4"/>
  </w:num>
  <w:num w:numId="3">
    <w:abstractNumId w:val="48"/>
  </w:num>
  <w:num w:numId="4">
    <w:abstractNumId w:val="55"/>
  </w:num>
  <w:num w:numId="5">
    <w:abstractNumId w:val="13"/>
  </w:num>
  <w:num w:numId="6">
    <w:abstractNumId w:val="16"/>
  </w:num>
  <w:num w:numId="7">
    <w:abstractNumId w:val="52"/>
  </w:num>
  <w:num w:numId="8">
    <w:abstractNumId w:val="57"/>
  </w:num>
  <w:num w:numId="9">
    <w:abstractNumId w:val="36"/>
  </w:num>
  <w:num w:numId="10">
    <w:abstractNumId w:val="32"/>
  </w:num>
  <w:num w:numId="11">
    <w:abstractNumId w:val="15"/>
  </w:num>
  <w:num w:numId="12">
    <w:abstractNumId w:val="66"/>
  </w:num>
  <w:num w:numId="13">
    <w:abstractNumId w:val="62"/>
  </w:num>
  <w:num w:numId="14">
    <w:abstractNumId w:val="18"/>
  </w:num>
  <w:num w:numId="15">
    <w:abstractNumId w:val="65"/>
  </w:num>
  <w:num w:numId="16">
    <w:abstractNumId w:val="2"/>
  </w:num>
  <w:num w:numId="17">
    <w:abstractNumId w:val="69"/>
  </w:num>
  <w:num w:numId="18">
    <w:abstractNumId w:val="19"/>
  </w:num>
  <w:num w:numId="19">
    <w:abstractNumId w:val="40"/>
  </w:num>
  <w:num w:numId="20">
    <w:abstractNumId w:val="37"/>
  </w:num>
  <w:num w:numId="21">
    <w:abstractNumId w:val="59"/>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2"/>
  </w:num>
  <w:num w:numId="40">
    <w:abstractNumId w:val="64"/>
  </w:num>
  <w:num w:numId="41">
    <w:abstractNumId w:val="38"/>
  </w:num>
  <w:num w:numId="42">
    <w:abstractNumId w:val="25"/>
  </w:num>
  <w:num w:numId="43">
    <w:abstractNumId w:val="30"/>
  </w:num>
  <w:num w:numId="44">
    <w:abstractNumId w:val="49"/>
  </w:num>
  <w:num w:numId="45">
    <w:abstractNumId w:val="56"/>
  </w:num>
  <w:num w:numId="46">
    <w:abstractNumId w:val="63"/>
  </w:num>
  <w:num w:numId="47">
    <w:abstractNumId w:val="47"/>
    <w:lvlOverride w:ilvl="0">
      <w:lvl w:ilvl="0">
        <w:numFmt w:val="lowerLetter"/>
        <w:lvlText w:val="%1."/>
        <w:lvlJc w:val="left"/>
      </w:lvl>
    </w:lvlOverride>
  </w:num>
  <w:num w:numId="48">
    <w:abstractNumId w:val="61"/>
  </w:num>
  <w:num w:numId="49">
    <w:abstractNumId w:val="5"/>
  </w:num>
  <w:num w:numId="50">
    <w:abstractNumId w:val="29"/>
  </w:num>
  <w:num w:numId="51">
    <w:abstractNumId w:val="39"/>
  </w:num>
  <w:num w:numId="52">
    <w:abstractNumId w:val="34"/>
  </w:num>
  <w:num w:numId="53">
    <w:abstractNumId w:val="67"/>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1"/>
  </w:num>
  <w:num w:numId="61">
    <w:abstractNumId w:val="46"/>
  </w:num>
  <w:num w:numId="62">
    <w:abstractNumId w:val="68"/>
  </w:num>
  <w:num w:numId="63">
    <w:abstractNumId w:val="31"/>
  </w:num>
  <w:num w:numId="64">
    <w:abstractNumId w:val="9"/>
  </w:num>
  <w:num w:numId="65">
    <w:abstractNumId w:val="0"/>
  </w:num>
  <w:num w:numId="66">
    <w:abstractNumId w:val="28"/>
  </w:num>
  <w:num w:numId="67">
    <w:abstractNumId w:val="35"/>
  </w:num>
  <w:num w:numId="68">
    <w:abstractNumId w:val="41"/>
  </w:num>
  <w:num w:numId="69">
    <w:abstractNumId w:val="23"/>
  </w:num>
  <w:num w:numId="70">
    <w:abstractNumId w:val="70"/>
  </w:num>
  <w:num w:numId="71">
    <w:abstractNumId w:val="3"/>
  </w:num>
  <w:num w:numId="72">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492"/>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2FF"/>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0E31"/>
    <w:rsid w:val="00141498"/>
    <w:rsid w:val="001419DB"/>
    <w:rsid w:val="00141A51"/>
    <w:rsid w:val="00141A82"/>
    <w:rsid w:val="00141EE2"/>
    <w:rsid w:val="0014203D"/>
    <w:rsid w:val="001422D6"/>
    <w:rsid w:val="00142E17"/>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26B"/>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8AF"/>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D79"/>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0D3"/>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2BC7"/>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6E0"/>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D7A5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2D74"/>
    <w:rsid w:val="00342E45"/>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0F0A"/>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147"/>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5FBD"/>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3DCD"/>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5E26"/>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57FDC"/>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37E"/>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1F2"/>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9B0"/>
    <w:rsid w:val="006F1C3D"/>
    <w:rsid w:val="006F203D"/>
    <w:rsid w:val="006F2208"/>
    <w:rsid w:val="006F227B"/>
    <w:rsid w:val="006F2C58"/>
    <w:rsid w:val="006F388F"/>
    <w:rsid w:val="006F3FCB"/>
    <w:rsid w:val="006F42B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773"/>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21C"/>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531"/>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5B5"/>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EAF"/>
    <w:rsid w:val="007B4F2C"/>
    <w:rsid w:val="007B5097"/>
    <w:rsid w:val="007B5B69"/>
    <w:rsid w:val="007B6948"/>
    <w:rsid w:val="007B760E"/>
    <w:rsid w:val="007B764C"/>
    <w:rsid w:val="007C01F1"/>
    <w:rsid w:val="007C01F7"/>
    <w:rsid w:val="007C03DA"/>
    <w:rsid w:val="007C085E"/>
    <w:rsid w:val="007C0BA9"/>
    <w:rsid w:val="007C1452"/>
    <w:rsid w:val="007C1510"/>
    <w:rsid w:val="007C1B09"/>
    <w:rsid w:val="007C359D"/>
    <w:rsid w:val="007C3A1C"/>
    <w:rsid w:val="007C3AB0"/>
    <w:rsid w:val="007C42A1"/>
    <w:rsid w:val="007C47A9"/>
    <w:rsid w:val="007C4BA1"/>
    <w:rsid w:val="007C55D0"/>
    <w:rsid w:val="007C5BB6"/>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06A"/>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634"/>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975"/>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4AE"/>
    <w:rsid w:val="009C5559"/>
    <w:rsid w:val="009C5C99"/>
    <w:rsid w:val="009C6896"/>
    <w:rsid w:val="009C6AB5"/>
    <w:rsid w:val="009C7080"/>
    <w:rsid w:val="009C7AEA"/>
    <w:rsid w:val="009D0C0F"/>
    <w:rsid w:val="009D0D8C"/>
    <w:rsid w:val="009D1507"/>
    <w:rsid w:val="009D192C"/>
    <w:rsid w:val="009D1C86"/>
    <w:rsid w:val="009D2B8D"/>
    <w:rsid w:val="009D3800"/>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9C7"/>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B4C"/>
    <w:rsid w:val="00A355C3"/>
    <w:rsid w:val="00A35610"/>
    <w:rsid w:val="00A358D0"/>
    <w:rsid w:val="00A35B71"/>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430C"/>
    <w:rsid w:val="00A54415"/>
    <w:rsid w:val="00A54C31"/>
    <w:rsid w:val="00A54DE1"/>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941"/>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AA3"/>
    <w:rsid w:val="00AB5528"/>
    <w:rsid w:val="00AB5AC3"/>
    <w:rsid w:val="00AB5CCE"/>
    <w:rsid w:val="00AB79A5"/>
    <w:rsid w:val="00AC0298"/>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A14"/>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6B57"/>
    <w:rsid w:val="00B07063"/>
    <w:rsid w:val="00B0723B"/>
    <w:rsid w:val="00B07A55"/>
    <w:rsid w:val="00B07AEC"/>
    <w:rsid w:val="00B10ACF"/>
    <w:rsid w:val="00B10B63"/>
    <w:rsid w:val="00B11BFD"/>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93D"/>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627"/>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67BB6"/>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E41"/>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74F"/>
    <w:rsid w:val="00BC4985"/>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4837"/>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A0A"/>
    <w:rsid w:val="00CF2ACD"/>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A65"/>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8BC"/>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67AC"/>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511"/>
    <w:rsid w:val="00F14B03"/>
    <w:rsid w:val="00F1541E"/>
    <w:rsid w:val="00F1585C"/>
    <w:rsid w:val="00F167FD"/>
    <w:rsid w:val="00F16A8E"/>
    <w:rsid w:val="00F16BFE"/>
    <w:rsid w:val="00F16CB2"/>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81"/>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702"/>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16F"/>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68D"/>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7894">
      <w:bodyDiv w:val="1"/>
      <w:marLeft w:val="0"/>
      <w:marRight w:val="0"/>
      <w:marTop w:val="0"/>
      <w:marBottom w:val="0"/>
      <w:divBdr>
        <w:top w:val="none" w:sz="0" w:space="0" w:color="auto"/>
        <w:left w:val="none" w:sz="0" w:space="0" w:color="auto"/>
        <w:bottom w:val="none" w:sz="0" w:space="0" w:color="auto"/>
        <w:right w:val="none" w:sz="0" w:space="0" w:color="auto"/>
      </w:divBdr>
      <w:divsChild>
        <w:div w:id="1157383356">
          <w:marLeft w:val="0"/>
          <w:marRight w:val="0"/>
          <w:marTop w:val="0"/>
          <w:marBottom w:val="0"/>
          <w:divBdr>
            <w:top w:val="none" w:sz="0" w:space="0" w:color="auto"/>
            <w:left w:val="none" w:sz="0" w:space="0" w:color="auto"/>
            <w:bottom w:val="none" w:sz="0" w:space="0" w:color="auto"/>
            <w:right w:val="none" w:sz="0" w:space="0" w:color="auto"/>
          </w:divBdr>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14623741">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275654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98299955">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 w:id="2117366325">
      <w:bodyDiv w:val="1"/>
      <w:marLeft w:val="0"/>
      <w:marRight w:val="0"/>
      <w:marTop w:val="0"/>
      <w:marBottom w:val="0"/>
      <w:divBdr>
        <w:top w:val="none" w:sz="0" w:space="0" w:color="auto"/>
        <w:left w:val="none" w:sz="0" w:space="0" w:color="auto"/>
        <w:bottom w:val="none" w:sz="0" w:space="0" w:color="auto"/>
        <w:right w:val="none" w:sz="0" w:space="0" w:color="auto"/>
      </w:divBdr>
      <w:divsChild>
        <w:div w:id="9694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21" Type="http://schemas.openxmlformats.org/officeDocument/2006/relationships/hyperlink" Target="http://www.sii.cl/servicios_online/1047-1702.html" TargetMode="Externa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2.xml"/><Relationship Id="rId35" Type="http://schemas.openxmlformats.org/officeDocument/2006/relationships/hyperlink" Target="https://capacitacion.sercotec.cl/portal/content/capsula-sustentabilidad"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6.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7.xml><?xml version="1.0" encoding="utf-8"?>
<?mso-contentType ?>
<FormTemplates xmlns="http://schemas.microsoft.com/sharepoint/v3/contenttype/forms">
  <Display>NFListDisplayForm</Display>
  <Edit>NFListEditForm</Edit>
  <New>NFListEditForm</New>
</FormTemplates>
</file>

<file path=customXml/item8.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2.xml><?xml version="1.0" encoding="utf-8"?>
<ds:datastoreItem xmlns:ds="http://schemas.openxmlformats.org/officeDocument/2006/customXml" ds:itemID="{AF7CE60C-6A6B-4813-BE2B-7CBFED3B5097}">
  <ds:schemaRefs/>
</ds:datastoreItem>
</file>

<file path=customXml/itemProps3.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6.xml><?xml version="1.0" encoding="utf-8"?>
<ds:datastoreItem xmlns:ds="http://schemas.openxmlformats.org/officeDocument/2006/customXml" ds:itemID="{6796D1FF-9124-4B67-AC64-56617545ADF8}">
  <ds:schemaRefs>
    <ds:schemaRef ds:uri="office.server.policy"/>
  </ds:schemaRefs>
</ds:datastoreItem>
</file>

<file path=customXml/itemProps7.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8.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5DEA87A4-D2D8-4EDE-9CCE-FB5B1FE5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58</Pages>
  <Words>19401</Words>
  <Characters>106707</Characters>
  <Application>Microsoft Office Word</Application>
  <DocSecurity>0</DocSecurity>
  <Lines>889</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125857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68</cp:revision>
  <cp:lastPrinted>2023-06-28T16:01:00Z</cp:lastPrinted>
  <dcterms:created xsi:type="dcterms:W3CDTF">2023-04-23T21:45:00Z</dcterms:created>
  <dcterms:modified xsi:type="dcterms:W3CDTF">2023-06-29T14:05:00Z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