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191971BE" w14:textId="77777777" w:rsidR="00AE25C1" w:rsidRDefault="00AE25C1" w:rsidP="00F24063">
      <w:pPr>
        <w:jc w:val="center"/>
        <w:rPr>
          <w:rFonts w:eastAsia="Arial Unicode MS" w:cs="Arial"/>
          <w:b/>
          <w:bCs/>
          <w:sz w:val="40"/>
          <w:szCs w:val="40"/>
        </w:rPr>
      </w:pPr>
    </w:p>
    <w:p w14:paraId="7F890510" w14:textId="77777777" w:rsidR="00AE25C1" w:rsidRDefault="00AE25C1" w:rsidP="00F24063">
      <w:pPr>
        <w:jc w:val="center"/>
        <w:rPr>
          <w:rFonts w:eastAsia="Arial Unicode MS" w:cs="Arial"/>
          <w:b/>
          <w:bCs/>
          <w:sz w:val="40"/>
          <w:szCs w:val="40"/>
        </w:rPr>
      </w:pPr>
    </w:p>
    <w:p w14:paraId="53040A93" w14:textId="77777777" w:rsidR="00AE25C1" w:rsidRDefault="00AE25C1" w:rsidP="00F24063">
      <w:pPr>
        <w:jc w:val="center"/>
        <w:rPr>
          <w:rFonts w:eastAsia="Arial Unicode MS" w:cs="Arial"/>
          <w:b/>
          <w:bCs/>
          <w:sz w:val="40"/>
          <w:szCs w:val="40"/>
        </w:rPr>
      </w:pPr>
    </w:p>
    <w:p w14:paraId="4833FD60" w14:textId="77777777" w:rsidR="00AE25C1" w:rsidRDefault="00AE25C1" w:rsidP="00F24063">
      <w:pPr>
        <w:jc w:val="center"/>
        <w:rPr>
          <w:rFonts w:eastAsia="Arial Unicode MS" w:cs="Arial"/>
          <w:b/>
          <w:bCs/>
          <w:sz w:val="40"/>
          <w:szCs w:val="40"/>
        </w:rPr>
      </w:pPr>
    </w:p>
    <w:p w14:paraId="2B35B5D2" w14:textId="77777777" w:rsidR="00AE25C1" w:rsidRDefault="00AE25C1" w:rsidP="00F24063">
      <w:pPr>
        <w:jc w:val="center"/>
        <w:rPr>
          <w:rFonts w:eastAsia="Arial Unicode MS" w:cs="Arial"/>
          <w:b/>
          <w:bCs/>
          <w:sz w:val="40"/>
          <w:szCs w:val="40"/>
        </w:rPr>
      </w:pPr>
    </w:p>
    <w:p w14:paraId="620BFFA6" w14:textId="3371AE3A"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306620E9" w:rsidR="00F344ED" w:rsidRDefault="00F344ED"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E2CE988"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393EC0" w:rsidRPr="00393EC0">
        <w:rPr>
          <w:rFonts w:eastAsia="Arial Unicode MS" w:cs="Arial"/>
          <w:b/>
          <w:bCs/>
          <w:sz w:val="40"/>
          <w:szCs w:val="40"/>
        </w:rPr>
        <w:t>MULTISECTORIAL</w:t>
      </w:r>
      <w:r w:rsidRPr="00393EC0">
        <w:rPr>
          <w:rFonts w:eastAsia="Arial Unicode MS" w:cs="Arial"/>
          <w:b/>
          <w:bCs/>
          <w:sz w:val="40"/>
          <w:szCs w:val="40"/>
        </w:rPr>
        <w:t>”</w:t>
      </w:r>
    </w:p>
    <w:p w14:paraId="3FDEDA60" w14:textId="50A08406" w:rsidR="00F24063" w:rsidRDefault="00F24063" w:rsidP="00F24063">
      <w:pPr>
        <w:jc w:val="center"/>
        <w:rPr>
          <w:rFonts w:eastAsia="Arial Unicode MS" w:cs="Arial"/>
          <w:b/>
          <w:bCs/>
          <w:sz w:val="40"/>
          <w:szCs w:val="40"/>
        </w:rPr>
      </w:pPr>
    </w:p>
    <w:p w14:paraId="38F5BE82" w14:textId="1933F5AC" w:rsidR="00AE25C1" w:rsidRDefault="00AE25C1" w:rsidP="00F24063">
      <w:pPr>
        <w:jc w:val="center"/>
        <w:rPr>
          <w:rFonts w:eastAsia="Arial Unicode MS" w:cs="Arial"/>
          <w:b/>
          <w:bCs/>
          <w:sz w:val="40"/>
          <w:szCs w:val="40"/>
        </w:rPr>
      </w:pPr>
    </w:p>
    <w:p w14:paraId="79649688" w14:textId="7D068275" w:rsidR="00AE25C1" w:rsidRDefault="00AE25C1" w:rsidP="00F24063">
      <w:pPr>
        <w:jc w:val="center"/>
        <w:rPr>
          <w:rFonts w:eastAsia="Arial Unicode MS" w:cs="Arial"/>
          <w:b/>
          <w:bCs/>
          <w:sz w:val="40"/>
          <w:szCs w:val="40"/>
        </w:rPr>
      </w:pPr>
    </w:p>
    <w:p w14:paraId="7DC7BB82" w14:textId="69B112FC" w:rsidR="00AE25C1" w:rsidRDefault="00AE25C1" w:rsidP="00F24063">
      <w:pPr>
        <w:jc w:val="center"/>
        <w:rPr>
          <w:rFonts w:eastAsia="Arial Unicode MS" w:cs="Arial"/>
          <w:b/>
          <w:bCs/>
          <w:sz w:val="40"/>
          <w:szCs w:val="40"/>
        </w:rPr>
      </w:pPr>
    </w:p>
    <w:p w14:paraId="49322DD4" w14:textId="7370C6E1" w:rsidR="00AE25C1" w:rsidRDefault="00AE25C1" w:rsidP="00F24063">
      <w:pPr>
        <w:jc w:val="center"/>
        <w:rPr>
          <w:rFonts w:eastAsia="Arial Unicode MS" w:cs="Arial"/>
          <w:b/>
          <w:bCs/>
          <w:sz w:val="40"/>
          <w:szCs w:val="40"/>
        </w:rPr>
      </w:pPr>
    </w:p>
    <w:p w14:paraId="488A95D5" w14:textId="77777777" w:rsidR="00AE25C1" w:rsidRPr="00393EC0" w:rsidRDefault="00AE25C1" w:rsidP="00F24063">
      <w:pPr>
        <w:jc w:val="center"/>
        <w:rPr>
          <w:rFonts w:eastAsia="Arial Unicode MS" w:cs="Arial"/>
          <w:b/>
          <w:bCs/>
          <w:sz w:val="40"/>
          <w:szCs w:val="40"/>
        </w:rPr>
      </w:pPr>
    </w:p>
    <w:p w14:paraId="636C6D10" w14:textId="3D39A97F"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266CB5">
        <w:rPr>
          <w:rFonts w:eastAsia="Arial Unicode MS" w:cs="Arial"/>
          <w:b/>
          <w:bCs/>
          <w:sz w:val="40"/>
          <w:szCs w:val="40"/>
        </w:rPr>
        <w:t>VALPARAÍSO</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654BE138"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B37B69">
              <w:rPr>
                <w:webHidden/>
              </w:rPr>
              <w:t>3</w:t>
            </w:r>
            <w:r w:rsidR="00137ECD">
              <w:rPr>
                <w:webHidden/>
              </w:rPr>
              <w:fldChar w:fldCharType="end"/>
            </w:r>
          </w:hyperlink>
        </w:p>
        <w:p w14:paraId="55CAEF35" w14:textId="60D81DAD" w:rsidR="00137ECD" w:rsidRDefault="00D93F79">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B37B69">
              <w:rPr>
                <w:webHidden/>
              </w:rPr>
              <w:t>3</w:t>
            </w:r>
            <w:r w:rsidR="00137ECD">
              <w:rPr>
                <w:webHidden/>
              </w:rPr>
              <w:fldChar w:fldCharType="end"/>
            </w:r>
          </w:hyperlink>
        </w:p>
        <w:p w14:paraId="65479E64" w14:textId="7506559B" w:rsidR="00137ECD" w:rsidRDefault="00D93F79">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B37B69">
              <w:rPr>
                <w:webHidden/>
              </w:rPr>
              <w:t>3</w:t>
            </w:r>
            <w:r w:rsidR="00137ECD">
              <w:rPr>
                <w:webHidden/>
              </w:rPr>
              <w:fldChar w:fldCharType="end"/>
            </w:r>
          </w:hyperlink>
        </w:p>
        <w:p w14:paraId="07944FE1" w14:textId="4EE7A1A2" w:rsidR="00137ECD" w:rsidRDefault="00D93F79">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B37B69">
              <w:rPr>
                <w:webHidden/>
              </w:rPr>
              <w:t>4</w:t>
            </w:r>
            <w:r w:rsidR="00137ECD">
              <w:rPr>
                <w:webHidden/>
              </w:rPr>
              <w:fldChar w:fldCharType="end"/>
            </w:r>
          </w:hyperlink>
        </w:p>
        <w:p w14:paraId="5FC90D47" w14:textId="1012B5FC" w:rsidR="00137ECD" w:rsidRDefault="00D93F79">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B37B69">
              <w:rPr>
                <w:webHidden/>
              </w:rPr>
              <w:t>5</w:t>
            </w:r>
            <w:r w:rsidR="00137ECD">
              <w:rPr>
                <w:webHidden/>
              </w:rPr>
              <w:fldChar w:fldCharType="end"/>
            </w:r>
          </w:hyperlink>
        </w:p>
        <w:p w14:paraId="3F0F52E1" w14:textId="728C394A" w:rsidR="00137ECD" w:rsidRDefault="00D93F79">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B37B69">
              <w:rPr>
                <w:webHidden/>
              </w:rPr>
              <w:t>5</w:t>
            </w:r>
            <w:r w:rsidR="00137ECD">
              <w:rPr>
                <w:webHidden/>
              </w:rPr>
              <w:fldChar w:fldCharType="end"/>
            </w:r>
          </w:hyperlink>
        </w:p>
        <w:p w14:paraId="49EB65C4" w14:textId="026E24EB" w:rsidR="00137ECD" w:rsidRDefault="00D93F79">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B37B69">
              <w:rPr>
                <w:webHidden/>
              </w:rPr>
              <w:t>8</w:t>
            </w:r>
            <w:r w:rsidR="00137ECD">
              <w:rPr>
                <w:webHidden/>
              </w:rPr>
              <w:fldChar w:fldCharType="end"/>
            </w:r>
          </w:hyperlink>
        </w:p>
        <w:p w14:paraId="66ABFCD9" w14:textId="2F4B2665" w:rsidR="00137ECD" w:rsidRDefault="00D93F79">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B37B69">
              <w:rPr>
                <w:webHidden/>
              </w:rPr>
              <w:t>10</w:t>
            </w:r>
            <w:r w:rsidR="00137ECD">
              <w:rPr>
                <w:webHidden/>
              </w:rPr>
              <w:fldChar w:fldCharType="end"/>
            </w:r>
          </w:hyperlink>
        </w:p>
        <w:p w14:paraId="6F0FF934" w14:textId="0E44C8D0" w:rsidR="00137ECD" w:rsidRDefault="00D93F79">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B37B69">
              <w:rPr>
                <w:webHidden/>
              </w:rPr>
              <w:t>11</w:t>
            </w:r>
            <w:r w:rsidR="00137ECD">
              <w:rPr>
                <w:webHidden/>
              </w:rPr>
              <w:fldChar w:fldCharType="end"/>
            </w:r>
          </w:hyperlink>
        </w:p>
        <w:p w14:paraId="52D84111" w14:textId="3087DEE4" w:rsidR="00137ECD" w:rsidRDefault="00D93F79">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B37B69">
              <w:rPr>
                <w:webHidden/>
              </w:rPr>
              <w:t>11</w:t>
            </w:r>
            <w:r w:rsidR="00137ECD">
              <w:rPr>
                <w:webHidden/>
              </w:rPr>
              <w:fldChar w:fldCharType="end"/>
            </w:r>
          </w:hyperlink>
        </w:p>
        <w:p w14:paraId="4D4508B5" w14:textId="02352A7C" w:rsidR="00137ECD" w:rsidRDefault="00D93F79">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B37B69">
              <w:rPr>
                <w:webHidden/>
              </w:rPr>
              <w:t>12</w:t>
            </w:r>
            <w:r w:rsidR="00137ECD">
              <w:rPr>
                <w:webHidden/>
              </w:rPr>
              <w:fldChar w:fldCharType="end"/>
            </w:r>
          </w:hyperlink>
        </w:p>
        <w:p w14:paraId="6C6BF84B" w14:textId="6D63B78A" w:rsidR="00137ECD" w:rsidRDefault="00D93F79">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B37B69">
              <w:rPr>
                <w:webHidden/>
              </w:rPr>
              <w:t>15</w:t>
            </w:r>
            <w:r w:rsidR="00137ECD">
              <w:rPr>
                <w:webHidden/>
              </w:rPr>
              <w:fldChar w:fldCharType="end"/>
            </w:r>
          </w:hyperlink>
        </w:p>
        <w:p w14:paraId="05214EB5" w14:textId="7E64D305" w:rsidR="00137ECD" w:rsidRDefault="00D93F79">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B37B69">
              <w:rPr>
                <w:webHidden/>
              </w:rPr>
              <w:t>16</w:t>
            </w:r>
            <w:r w:rsidR="00137ECD">
              <w:rPr>
                <w:webHidden/>
              </w:rPr>
              <w:fldChar w:fldCharType="end"/>
            </w:r>
          </w:hyperlink>
        </w:p>
        <w:p w14:paraId="69D53A29" w14:textId="13F89715" w:rsidR="00137ECD" w:rsidRDefault="00D93F79">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B37B69">
              <w:rPr>
                <w:webHidden/>
              </w:rPr>
              <w:t>16</w:t>
            </w:r>
            <w:r w:rsidR="00137ECD">
              <w:rPr>
                <w:webHidden/>
              </w:rPr>
              <w:fldChar w:fldCharType="end"/>
            </w:r>
          </w:hyperlink>
        </w:p>
        <w:p w14:paraId="342530E1" w14:textId="272B5312" w:rsidR="00137ECD" w:rsidRDefault="00D93F79">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B37B69">
              <w:rPr>
                <w:webHidden/>
              </w:rPr>
              <w:t>16</w:t>
            </w:r>
            <w:r w:rsidR="00137ECD">
              <w:rPr>
                <w:webHidden/>
              </w:rPr>
              <w:fldChar w:fldCharType="end"/>
            </w:r>
          </w:hyperlink>
        </w:p>
        <w:p w14:paraId="11D0F67E" w14:textId="66843C8D" w:rsidR="00137ECD" w:rsidRDefault="00D93F79">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B37B69">
              <w:rPr>
                <w:webHidden/>
              </w:rPr>
              <w:t>17</w:t>
            </w:r>
            <w:r w:rsidR="00137ECD">
              <w:rPr>
                <w:webHidden/>
              </w:rPr>
              <w:fldChar w:fldCharType="end"/>
            </w:r>
          </w:hyperlink>
        </w:p>
        <w:p w14:paraId="188CEF95" w14:textId="6474FAB9" w:rsidR="00137ECD" w:rsidRDefault="00D93F79">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B37B69">
              <w:rPr>
                <w:webHidden/>
              </w:rPr>
              <w:t>17</w:t>
            </w:r>
            <w:r w:rsidR="00137ECD">
              <w:rPr>
                <w:webHidden/>
              </w:rPr>
              <w:fldChar w:fldCharType="end"/>
            </w:r>
          </w:hyperlink>
        </w:p>
        <w:p w14:paraId="71CFD642" w14:textId="442D2AD2" w:rsidR="00137ECD" w:rsidRDefault="00D93F79">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B37B69">
              <w:rPr>
                <w:webHidden/>
              </w:rPr>
              <w:t>17</w:t>
            </w:r>
            <w:r w:rsidR="00137ECD">
              <w:rPr>
                <w:webHidden/>
              </w:rPr>
              <w:fldChar w:fldCharType="end"/>
            </w:r>
          </w:hyperlink>
        </w:p>
        <w:p w14:paraId="4D5B857B" w14:textId="43510D5A" w:rsidR="00137ECD" w:rsidRDefault="00D93F79">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B37B69">
              <w:rPr>
                <w:webHidden/>
              </w:rPr>
              <w:t>18</w:t>
            </w:r>
            <w:r w:rsidR="00137ECD">
              <w:rPr>
                <w:webHidden/>
              </w:rPr>
              <w:fldChar w:fldCharType="end"/>
            </w:r>
          </w:hyperlink>
        </w:p>
        <w:p w14:paraId="4B1CA1EA" w14:textId="3F0F1F53" w:rsidR="00137ECD" w:rsidRDefault="00D93F79">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B37B69">
              <w:rPr>
                <w:webHidden/>
              </w:rPr>
              <w:t>21</w:t>
            </w:r>
            <w:r w:rsidR="00137ECD">
              <w:rPr>
                <w:webHidden/>
              </w:rPr>
              <w:fldChar w:fldCharType="end"/>
            </w:r>
          </w:hyperlink>
        </w:p>
        <w:p w14:paraId="247C6CDE" w14:textId="0017D3AD" w:rsidR="00137ECD" w:rsidRDefault="00D93F79">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B37B69">
              <w:rPr>
                <w:webHidden/>
              </w:rPr>
              <w:t>23</w:t>
            </w:r>
            <w:r w:rsidR="00137ECD">
              <w:rPr>
                <w:webHidden/>
              </w:rPr>
              <w:fldChar w:fldCharType="end"/>
            </w:r>
          </w:hyperlink>
        </w:p>
        <w:p w14:paraId="546958D7" w14:textId="4A90CA7F" w:rsidR="00137ECD" w:rsidRDefault="00D93F79">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B37B69">
              <w:rPr>
                <w:webHidden/>
              </w:rPr>
              <w:t>23</w:t>
            </w:r>
            <w:r w:rsidR="00137ECD">
              <w:rPr>
                <w:webHidden/>
              </w:rPr>
              <w:fldChar w:fldCharType="end"/>
            </w:r>
          </w:hyperlink>
        </w:p>
        <w:p w14:paraId="688201ED" w14:textId="5A594455" w:rsidR="00137ECD" w:rsidRDefault="00D93F79">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B37B69">
              <w:rPr>
                <w:webHidden/>
              </w:rPr>
              <w:t>24</w:t>
            </w:r>
            <w:r w:rsidR="00137ECD">
              <w:rPr>
                <w:webHidden/>
              </w:rPr>
              <w:fldChar w:fldCharType="end"/>
            </w:r>
          </w:hyperlink>
        </w:p>
        <w:p w14:paraId="5E90C86C" w14:textId="557AAA10" w:rsidR="00137ECD" w:rsidRDefault="00D93F79">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B37B69">
              <w:rPr>
                <w:webHidden/>
              </w:rPr>
              <w:t>26</w:t>
            </w:r>
            <w:r w:rsidR="00137ECD">
              <w:rPr>
                <w:webHidden/>
              </w:rPr>
              <w:fldChar w:fldCharType="end"/>
            </w:r>
          </w:hyperlink>
        </w:p>
        <w:p w14:paraId="7365C394" w14:textId="37E65DCE" w:rsidR="00137ECD" w:rsidRDefault="00D93F79">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B37B69">
              <w:rPr>
                <w:webHidden/>
              </w:rPr>
              <w:t>29</w:t>
            </w:r>
            <w:r w:rsidR="00137ECD">
              <w:rPr>
                <w:webHidden/>
              </w:rPr>
              <w:fldChar w:fldCharType="end"/>
            </w:r>
          </w:hyperlink>
        </w:p>
        <w:p w14:paraId="6684C6DC" w14:textId="4DA4C0C4" w:rsidR="00137ECD" w:rsidRDefault="00D93F79"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B37B69">
              <w:rPr>
                <w:webHidden/>
              </w:rPr>
              <w:t>31</w:t>
            </w:r>
            <w:r w:rsidR="00137ECD">
              <w:rPr>
                <w:webHidden/>
              </w:rPr>
              <w:fldChar w:fldCharType="end"/>
            </w:r>
          </w:hyperlink>
        </w:p>
        <w:p w14:paraId="0ECDCAEE" w14:textId="1588B196" w:rsidR="00137ECD" w:rsidRDefault="00D93F79">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B37B69">
              <w:rPr>
                <w:webHidden/>
              </w:rPr>
              <w:t>36</w:t>
            </w:r>
            <w:r w:rsidR="00137ECD">
              <w:rPr>
                <w:webHidden/>
              </w:rPr>
              <w:fldChar w:fldCharType="end"/>
            </w:r>
          </w:hyperlink>
        </w:p>
        <w:p w14:paraId="07EEBA3F" w14:textId="120EC91D" w:rsidR="00137ECD" w:rsidRDefault="00D93F79">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B37B69">
              <w:rPr>
                <w:webHidden/>
              </w:rPr>
              <w:t>44</w:t>
            </w:r>
            <w:r w:rsidR="00137ECD">
              <w:rPr>
                <w:webHidden/>
              </w:rPr>
              <w:fldChar w:fldCharType="end"/>
            </w:r>
          </w:hyperlink>
        </w:p>
        <w:p w14:paraId="7BF2ABF3" w14:textId="07B9A9BF" w:rsidR="00137ECD" w:rsidRPr="00137ECD" w:rsidRDefault="00D93F79"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B37B69">
              <w:rPr>
                <w:webHidden/>
              </w:rPr>
              <w:t>45</w:t>
            </w:r>
            <w:r w:rsidR="00137ECD">
              <w:rPr>
                <w:webHidden/>
              </w:rPr>
              <w:fldChar w:fldCharType="end"/>
            </w:r>
          </w:hyperlink>
        </w:p>
        <w:p w14:paraId="27BB818A" w14:textId="56CA553B" w:rsidR="00137ECD" w:rsidRDefault="00D93F79">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B37B69">
              <w:rPr>
                <w:webHidden/>
              </w:rPr>
              <w:t>47</w:t>
            </w:r>
            <w:r w:rsidR="00137ECD">
              <w:rPr>
                <w:webHidden/>
              </w:rPr>
              <w:fldChar w:fldCharType="end"/>
            </w:r>
          </w:hyperlink>
        </w:p>
        <w:p w14:paraId="5F655323" w14:textId="1A8BDCBA" w:rsidR="00137ECD" w:rsidRDefault="00D93F79">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B37B69">
              <w:rPr>
                <w:webHidden/>
              </w:rPr>
              <w:t>53</w:t>
            </w:r>
            <w:r w:rsidR="00137ECD">
              <w:rPr>
                <w:webHidden/>
              </w:rPr>
              <w:fldChar w:fldCharType="end"/>
            </w:r>
          </w:hyperlink>
        </w:p>
        <w:p w14:paraId="4D3354E8" w14:textId="3BD4014A" w:rsidR="00137ECD" w:rsidRDefault="00D93F79">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B37B69">
              <w:rPr>
                <w:webHidden/>
              </w:rPr>
              <w:t>54</w:t>
            </w:r>
            <w:r w:rsidR="00137ECD">
              <w:rPr>
                <w:webHidden/>
              </w:rPr>
              <w:fldChar w:fldCharType="end"/>
            </w:r>
          </w:hyperlink>
        </w:p>
        <w:p w14:paraId="51454E0B" w14:textId="7EA5ACBD"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8E3EA8">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C95DAF">
            <w:rPr>
              <w:rFonts w:asciiTheme="minorHAnsi" w:hAnsiTheme="minorHAnsi" w:cstheme="minorHAnsi"/>
              <w:b/>
              <w:bCs/>
              <w:iCs/>
              <w:sz w:val="19"/>
              <w:szCs w:val="19"/>
              <w:lang w:val="es-CL"/>
            </w:rPr>
            <w:t>6</w:t>
          </w:r>
        </w:p>
        <w:p w14:paraId="39AFF723" w14:textId="484D9B72" w:rsidR="007D3BB3" w:rsidRPr="00B93A85" w:rsidRDefault="00D93F79">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236087E" w14:textId="04642F05" w:rsidR="00255771" w:rsidRPr="000C58C1" w:rsidRDefault="00F3496B" w:rsidP="000C58C1">
      <w:pPr>
        <w:jc w:val="both"/>
        <w:rPr>
          <w:rFonts w:eastAsia="Arial Unicode MS" w:cs="Arial"/>
          <w:szCs w:val="22"/>
        </w:rPr>
      </w:pPr>
      <w:r w:rsidRPr="00F3496B">
        <w:rPr>
          <w:rFonts w:eastAsia="Arial Unicode MS" w:cs="Arial"/>
          <w:szCs w:val="22"/>
        </w:rPr>
        <w:t xml:space="preserve">La presente convocatoria está dirigida a micro y pequeñas empresas, personas naturales y jurídicas de la Región de </w:t>
      </w:r>
      <w:r w:rsidR="00266CB5">
        <w:rPr>
          <w:rFonts w:eastAsia="Arial Unicode MS" w:cs="Arial"/>
          <w:szCs w:val="22"/>
        </w:rPr>
        <w:t>Valparaíso</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0C58C1">
        <w:rPr>
          <w:rFonts w:eastAsia="Arial Unicode MS" w:cs="Arial"/>
          <w:szCs w:val="22"/>
        </w:rPr>
        <w:t xml:space="preserve">, </w:t>
      </w:r>
      <w:r w:rsidR="000C58C1" w:rsidRPr="000C58C1">
        <w:rPr>
          <w:rFonts w:eastAsia="Arial Unicode MS" w:cs="Arial"/>
          <w:szCs w:val="22"/>
        </w:rPr>
        <w:t xml:space="preserve">cuya importancia será la diferenciación </w:t>
      </w:r>
      <w:r w:rsidR="000C58C1">
        <w:rPr>
          <w:rFonts w:eastAsia="Arial Unicode MS" w:cs="Arial"/>
          <w:szCs w:val="22"/>
        </w:rPr>
        <w:t>p</w:t>
      </w:r>
      <w:r w:rsidR="000C58C1" w:rsidRPr="000C58C1">
        <w:rPr>
          <w:rFonts w:eastAsia="Arial Unicode MS" w:cs="Arial"/>
          <w:szCs w:val="22"/>
        </w:rPr>
        <w:t>resentada, el valor agregado, la sostenibilidad a alcanzar para ser una empresa que se mantenga en el tiempo y con potencial de crecimiento, capacidad de generar empleo y ser viables tanto técnica como económicamente.</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lastRenderedPageBreak/>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634F2C0A"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Región de </w:t>
      </w:r>
      <w:r w:rsidR="00266CB5">
        <w:rPr>
          <w:rFonts w:eastAsia="Arial Unicode MS" w:cs="Arial"/>
          <w:color w:val="000000"/>
          <w:szCs w:val="22"/>
          <w:lang w:val="es-CL"/>
        </w:rPr>
        <w:t>Valparaíso</w:t>
      </w:r>
      <w:r w:rsidR="004E6C2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77777777"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r w:rsidRPr="00CB1448">
        <w:rPr>
          <w:rFonts w:eastAsia="Arial Unicode MS" w:cs="Arial"/>
          <w:color w:val="000000"/>
          <w:szCs w:val="22"/>
          <w:lang w:val="es-CL"/>
        </w:rPr>
        <w:t xml:space="preserve">Sercotec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4709E335" w:rsidR="00475439" w:rsidRPr="009562EE" w:rsidRDefault="003F422B" w:rsidP="00034A3A">
            <w:pPr>
              <w:jc w:val="center"/>
              <w:rPr>
                <w:rFonts w:eastAsia="Arial Unicode MS" w:cs="Arial"/>
                <w:color w:val="000000"/>
                <w:sz w:val="20"/>
                <w:szCs w:val="22"/>
              </w:rPr>
            </w:pPr>
            <w:r>
              <w:rPr>
                <w:rFonts w:eastAsia="Arial Unicode MS" w:cs="Arial"/>
                <w:color w:val="000000"/>
                <w:sz w:val="20"/>
                <w:szCs w:val="22"/>
              </w:rPr>
              <w:t xml:space="preserve">Mayo </w:t>
            </w:r>
            <w:r w:rsidR="00D866B3">
              <w:rPr>
                <w:rFonts w:eastAsia="Arial Unicode MS" w:cs="Arial"/>
                <w:color w:val="000000"/>
                <w:sz w:val="20"/>
                <w:szCs w:val="22"/>
              </w:rPr>
              <w:t>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D03E50F" w14:textId="77777777"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2E1C9BFE"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Región de </w:t>
      </w:r>
      <w:r w:rsidR="00266CB5">
        <w:rPr>
          <w:rFonts w:eastAsia="Arial Unicode MS" w:cs="Arial"/>
          <w:color w:val="000000"/>
          <w:szCs w:val="22"/>
        </w:rPr>
        <w:t>Valparaíso</w:t>
      </w:r>
      <w:r w:rsidRPr="00C36F35">
        <w:rPr>
          <w:rFonts w:eastAsia="Arial Unicode MS" w:cs="Arial"/>
          <w:color w:val="000000"/>
          <w:szCs w:val="22"/>
        </w:rPr>
        <w:t>. No se evaluarán a aquellas empresas que no cumplan con esta condición.</w:t>
      </w:r>
    </w:p>
    <w:p w14:paraId="1713A9C1" w14:textId="01963527" w:rsidR="00C36F35" w:rsidRPr="00C36F35"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lastRenderedPageBreak/>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Sercotec validará nuevamente esta condición al momento de formalizar.</w:t>
      </w: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225FF305" w:rsidR="00B57772" w:rsidRDefault="000F05CA" w:rsidP="00C7415F">
      <w:pPr>
        <w:numPr>
          <w:ilvl w:val="0"/>
          <w:numId w:val="2"/>
        </w:numPr>
        <w:jc w:val="both"/>
        <w:rPr>
          <w:rFonts w:eastAsia="Arial Unicode MS" w:cs="Arial"/>
          <w:color w:val="000000"/>
          <w:szCs w:val="22"/>
        </w:rPr>
      </w:pPr>
      <w:r>
        <w:rPr>
          <w:rFonts w:eastAsia="Arial Unicode MS" w:cs="Arial"/>
          <w:color w:val="000000"/>
          <w:szCs w:val="22"/>
        </w:rPr>
        <w:t xml:space="preserve">El </w:t>
      </w:r>
      <w:r w:rsidR="002265E0">
        <w:rPr>
          <w:rFonts w:eastAsia="Arial Unicode MS" w:cs="Arial"/>
          <w:color w:val="000000"/>
          <w:szCs w:val="22"/>
        </w:rPr>
        <w:t>Proyecto de</w:t>
      </w:r>
      <w:r w:rsidR="00AD417C">
        <w:rPr>
          <w:rFonts w:eastAsia="Arial Unicode MS" w:cs="Arial"/>
          <w:color w:val="000000"/>
          <w:szCs w:val="22"/>
        </w:rPr>
        <w:t xml:space="preserv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518DC5BB" w14:textId="732D0A94" w:rsidR="00C36F35" w:rsidRDefault="00C36F35" w:rsidP="00C36F35">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r w:rsidRPr="00CB1448">
        <w:rPr>
          <w:rFonts w:eastAsia="Arial Unicode MS" w:cs="Arial"/>
          <w:color w:val="000000"/>
          <w:szCs w:val="22"/>
          <w:lang w:val="es-CL"/>
        </w:rPr>
        <w:t xml:space="preserve">Sercotec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Sercotec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lastRenderedPageBreak/>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lastRenderedPageBreak/>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 xml:space="preserve">comprende el gasto en aquellos bienes directos de la naturaleza o semielaborados que resultan indispensables </w:t>
            </w:r>
            <w:r w:rsidRPr="00B93A85">
              <w:rPr>
                <w:rFonts w:eastAsia="Arial Unicode MS" w:cs="Arial"/>
                <w:bCs/>
                <w:snapToGrid w:val="0"/>
                <w:sz w:val="20"/>
                <w:szCs w:val="20"/>
              </w:rPr>
              <w:lastRenderedPageBreak/>
              <w:t>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180A0668"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Anexo N° 9</w:t>
      </w:r>
      <w:r w:rsidR="00D82F22">
        <w:rPr>
          <w:rFonts w:eastAsia="Arial Unicode MS"/>
          <w:lang w:val="es-CL"/>
        </w:rPr>
        <w:t xml:space="preserve"> </w:t>
      </w:r>
      <w:r w:rsidR="00875C03">
        <w:rPr>
          <w:rFonts w:eastAsia="Arial Unicode MS"/>
          <w:lang w:val="es-CL"/>
        </w:rPr>
        <w:t>“</w:t>
      </w:r>
      <w:r w:rsidR="008E3EA8">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380E1068" w14:textId="77777777" w:rsidR="00731821" w:rsidRPr="007E559E" w:rsidRDefault="00731821" w:rsidP="00731821">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4C7694F2" w:rsidR="00B60EFC" w:rsidRDefault="00B60EFC" w:rsidP="004920CB">
      <w:pPr>
        <w:jc w:val="both"/>
        <w:rPr>
          <w:rFonts w:cs="Arial"/>
          <w:szCs w:val="22"/>
          <w:lang w:val="es-CL"/>
        </w:rPr>
      </w:pPr>
    </w:p>
    <w:p w14:paraId="7C3CF7EE" w14:textId="5DF10C86" w:rsidR="00C93FEB" w:rsidRDefault="00C93FEB" w:rsidP="004920CB">
      <w:pPr>
        <w:jc w:val="both"/>
        <w:rPr>
          <w:rFonts w:cs="Arial"/>
          <w:szCs w:val="22"/>
          <w:lang w:val="es-CL"/>
        </w:rPr>
      </w:pPr>
    </w:p>
    <w:p w14:paraId="037A48E0" w14:textId="77777777" w:rsidR="00C93FEB" w:rsidRDefault="00C93FEB"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47BE82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lastRenderedPageBreak/>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5F64929C"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 xml:space="preserve">Sercotec pondrá a disposición de los y las postulantes la información y orientación sobre esta convocatoria través de los Puntos Mipe regionales, las direcciones regionales, oficinas provinciales y sitio web </w:t>
      </w:r>
      <w:hyperlink r:id="rId23">
        <w:r w:rsidRPr="00034138">
          <w:rPr>
            <w:rStyle w:val="Hipervnculo"/>
            <w:szCs w:val="22"/>
            <w:bdr w:val="none" w:sz="0" w:space="0" w:color="auto" w:frame="1"/>
            <w:lang w:val="es-MX"/>
          </w:rPr>
          <w:t>www.sercotec.cl</w:t>
        </w:r>
      </w:hyperlink>
    </w:p>
    <w:p w14:paraId="4C783AD4" w14:textId="27F25692" w:rsidR="005D5CE1" w:rsidRPr="005D5CE1" w:rsidRDefault="00034138" w:rsidP="005D5CE1">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 xml:space="preserve">La atención del Punto Mipe se prestará a través de los siguientes canales: </w:t>
      </w:r>
    </w:p>
    <w:tbl>
      <w:tblPr>
        <w:tblStyle w:val="Tablaconcuadrcula3"/>
        <w:tblW w:w="0" w:type="auto"/>
        <w:jc w:val="center"/>
        <w:tblLook w:val="04A0" w:firstRow="1" w:lastRow="0" w:firstColumn="1" w:lastColumn="0" w:noHBand="0" w:noVBand="1"/>
      </w:tblPr>
      <w:tblGrid>
        <w:gridCol w:w="2375"/>
        <w:gridCol w:w="5228"/>
      </w:tblGrid>
      <w:tr w:rsidR="005D5CE1" w:rsidRPr="00003577" w14:paraId="2EE5FE06" w14:textId="77777777" w:rsidTr="005D5CE1">
        <w:trPr>
          <w:jc w:val="center"/>
        </w:trPr>
        <w:tc>
          <w:tcPr>
            <w:tcW w:w="6669" w:type="dxa"/>
            <w:gridSpan w:val="2"/>
            <w:shd w:val="clear" w:color="auto" w:fill="D9D9D9" w:themeFill="background1" w:themeFillShade="D9"/>
          </w:tcPr>
          <w:p w14:paraId="3B75BD25" w14:textId="77777777" w:rsidR="005D5CE1" w:rsidRPr="00003577" w:rsidRDefault="005D5CE1" w:rsidP="005D5CE1">
            <w:pPr>
              <w:jc w:val="center"/>
              <w:rPr>
                <w:rFonts w:eastAsia="Calibri" w:cs="Calibri"/>
                <w:sz w:val="20"/>
                <w:szCs w:val="22"/>
                <w:lang w:val="es-MX"/>
              </w:rPr>
            </w:pPr>
            <w:r w:rsidRPr="00003577">
              <w:rPr>
                <w:rFonts w:eastAsia="Calibri" w:cs="Calibri"/>
                <w:sz w:val="20"/>
                <w:szCs w:val="22"/>
                <w:lang w:val="es-MX"/>
              </w:rPr>
              <w:lastRenderedPageBreak/>
              <w:t xml:space="preserve">Datos de </w:t>
            </w:r>
            <w:r w:rsidRPr="00003577">
              <w:rPr>
                <w:rFonts w:eastAsia="Calibri" w:cs="Calibri"/>
                <w:sz w:val="20"/>
                <w:szCs w:val="22"/>
                <w:shd w:val="clear" w:color="auto" w:fill="D9D9D9" w:themeFill="background1" w:themeFillShade="D9"/>
                <w:lang w:val="es-MX"/>
              </w:rPr>
              <w:t>contacto Punto Mipe</w:t>
            </w:r>
            <w:r w:rsidRPr="00003577">
              <w:rPr>
                <w:rFonts w:eastAsia="Calibri" w:cs="Calibri"/>
                <w:sz w:val="20"/>
                <w:szCs w:val="22"/>
                <w:lang w:val="es-MX"/>
              </w:rPr>
              <w:t xml:space="preserve"> Sercotec</w:t>
            </w:r>
          </w:p>
        </w:tc>
      </w:tr>
      <w:tr w:rsidR="005D5CE1" w:rsidRPr="00003577" w14:paraId="557BC701" w14:textId="77777777" w:rsidTr="0015625A">
        <w:trPr>
          <w:jc w:val="center"/>
        </w:trPr>
        <w:tc>
          <w:tcPr>
            <w:tcW w:w="2375" w:type="dxa"/>
          </w:tcPr>
          <w:p w14:paraId="484EEDE4" w14:textId="77777777" w:rsidR="005D5CE1" w:rsidRPr="00003577" w:rsidRDefault="005D5CE1" w:rsidP="005D5CE1">
            <w:pPr>
              <w:rPr>
                <w:rFonts w:eastAsia="Calibri" w:cs="Calibri"/>
                <w:sz w:val="20"/>
                <w:szCs w:val="22"/>
                <w:lang w:val="es-MX"/>
              </w:rPr>
            </w:pPr>
            <w:r w:rsidRPr="00003577">
              <w:rPr>
                <w:rFonts w:eastAsia="Calibri" w:cs="Calibri"/>
                <w:sz w:val="20"/>
                <w:szCs w:val="22"/>
                <w:lang w:val="es-MX"/>
              </w:rPr>
              <w:t>Contacto OIRS</w:t>
            </w:r>
          </w:p>
        </w:tc>
        <w:tc>
          <w:tcPr>
            <w:tcW w:w="0" w:type="auto"/>
          </w:tcPr>
          <w:p w14:paraId="17092922" w14:textId="77777777" w:rsidR="005D5CE1" w:rsidRPr="00003577" w:rsidRDefault="005D5CE1" w:rsidP="005D5CE1">
            <w:pPr>
              <w:jc w:val="right"/>
              <w:rPr>
                <w:rFonts w:eastAsia="Calibri" w:cs="Calibri"/>
                <w:sz w:val="20"/>
                <w:szCs w:val="22"/>
                <w:lang w:val="es-MX"/>
              </w:rPr>
            </w:pPr>
            <w:r w:rsidRPr="00003577">
              <w:rPr>
                <w:rFonts w:eastAsia="Calibri" w:cs="Calibri"/>
                <w:sz w:val="20"/>
                <w:szCs w:val="22"/>
                <w:lang w:val="es-MX"/>
              </w:rPr>
              <w:t>www.sercotec.cl/contacto</w:t>
            </w:r>
          </w:p>
        </w:tc>
      </w:tr>
      <w:tr w:rsidR="005D5CE1" w:rsidRPr="00003577" w14:paraId="3CEDFD00" w14:textId="77777777" w:rsidTr="0015625A">
        <w:trPr>
          <w:jc w:val="center"/>
        </w:trPr>
        <w:tc>
          <w:tcPr>
            <w:tcW w:w="2375" w:type="dxa"/>
          </w:tcPr>
          <w:p w14:paraId="088E6069" w14:textId="77777777" w:rsidR="005D5CE1" w:rsidRPr="00003577" w:rsidRDefault="005D5CE1" w:rsidP="005D5CE1">
            <w:pPr>
              <w:rPr>
                <w:rFonts w:eastAsia="Calibri" w:cs="Calibri"/>
                <w:sz w:val="20"/>
                <w:szCs w:val="22"/>
                <w:lang w:val="es-MX"/>
              </w:rPr>
            </w:pPr>
            <w:r w:rsidRPr="00003577">
              <w:rPr>
                <w:rFonts w:eastAsia="Calibri" w:cs="Calibri"/>
                <w:sz w:val="20"/>
                <w:szCs w:val="22"/>
                <w:lang w:val="es-MX"/>
              </w:rPr>
              <w:t>Teléfonos</w:t>
            </w:r>
          </w:p>
        </w:tc>
        <w:tc>
          <w:tcPr>
            <w:tcW w:w="0" w:type="auto"/>
          </w:tcPr>
          <w:p w14:paraId="591556F6" w14:textId="77777777" w:rsidR="005D5CE1" w:rsidRPr="00003577" w:rsidRDefault="005D5CE1" w:rsidP="005D5CE1">
            <w:pPr>
              <w:jc w:val="right"/>
              <w:rPr>
                <w:rFonts w:eastAsia="Calibri" w:cs="Calibri"/>
                <w:sz w:val="20"/>
                <w:szCs w:val="22"/>
                <w:lang w:val="es-MX"/>
              </w:rPr>
            </w:pPr>
            <w:r w:rsidRPr="00003577">
              <w:rPr>
                <w:rFonts w:eastAsia="Calibri" w:cs="Calibri"/>
                <w:sz w:val="20"/>
                <w:szCs w:val="22"/>
                <w:lang w:val="es-MX"/>
              </w:rPr>
              <w:t>2 3242 5218</w:t>
            </w:r>
          </w:p>
          <w:p w14:paraId="22B60BC3" w14:textId="77777777" w:rsidR="005D5CE1" w:rsidRPr="00003577" w:rsidRDefault="005D5CE1" w:rsidP="005D5CE1">
            <w:pPr>
              <w:jc w:val="right"/>
              <w:rPr>
                <w:rFonts w:eastAsia="Calibri" w:cs="Calibri"/>
                <w:sz w:val="20"/>
                <w:szCs w:val="22"/>
                <w:lang w:val="es-MX"/>
              </w:rPr>
            </w:pPr>
            <w:r w:rsidRPr="00003577">
              <w:rPr>
                <w:rFonts w:eastAsia="Calibri" w:cs="Calibri"/>
                <w:sz w:val="20"/>
                <w:szCs w:val="22"/>
                <w:lang w:val="es-MX"/>
              </w:rPr>
              <w:t xml:space="preserve">2 3242 5219 </w:t>
            </w:r>
          </w:p>
        </w:tc>
      </w:tr>
      <w:tr w:rsidR="005D5CE1" w:rsidRPr="00003577" w14:paraId="30C70C09" w14:textId="77777777" w:rsidTr="0015625A">
        <w:trPr>
          <w:jc w:val="center"/>
        </w:trPr>
        <w:tc>
          <w:tcPr>
            <w:tcW w:w="2375" w:type="dxa"/>
          </w:tcPr>
          <w:p w14:paraId="110FB594" w14:textId="77777777" w:rsidR="005D5CE1" w:rsidRPr="00003577" w:rsidRDefault="005D5CE1" w:rsidP="005D5CE1">
            <w:pPr>
              <w:rPr>
                <w:rFonts w:eastAsia="Calibri" w:cs="Calibri"/>
                <w:sz w:val="20"/>
                <w:szCs w:val="22"/>
                <w:lang w:val="es-MX"/>
              </w:rPr>
            </w:pPr>
            <w:r w:rsidRPr="00003577">
              <w:rPr>
                <w:rFonts w:eastAsia="Calibri" w:cs="Calibri"/>
                <w:sz w:val="20"/>
                <w:szCs w:val="22"/>
                <w:lang w:val="es-MX"/>
              </w:rPr>
              <w:t>Dirección</w:t>
            </w:r>
          </w:p>
        </w:tc>
        <w:tc>
          <w:tcPr>
            <w:tcW w:w="0" w:type="auto"/>
          </w:tcPr>
          <w:p w14:paraId="22B5BAAC" w14:textId="77777777" w:rsidR="005D5CE1" w:rsidRPr="00003577" w:rsidRDefault="005D5CE1" w:rsidP="005D5CE1">
            <w:pPr>
              <w:jc w:val="right"/>
              <w:rPr>
                <w:rFonts w:eastAsia="Calibri" w:cs="Calibri"/>
                <w:sz w:val="20"/>
                <w:szCs w:val="22"/>
                <w:lang w:val="es-MX"/>
              </w:rPr>
            </w:pPr>
            <w:r w:rsidRPr="00003577">
              <w:rPr>
                <w:rFonts w:eastAsia="Calibri" w:cs="Calibri"/>
                <w:sz w:val="20"/>
                <w:szCs w:val="22"/>
                <w:lang w:val="es-MX"/>
              </w:rPr>
              <w:t>Errázuriz #1178, piso 8, oficina 85, Edificio Olivarí, Valparaíso.</w:t>
            </w:r>
          </w:p>
        </w:tc>
      </w:tr>
    </w:tbl>
    <w:p w14:paraId="5F258DE8" w14:textId="77777777" w:rsidR="005D5CE1" w:rsidRPr="005D5CE1" w:rsidRDefault="005D5CE1" w:rsidP="005D5CE1">
      <w:pPr>
        <w:jc w:val="both"/>
        <w:rPr>
          <w:rFonts w:eastAsia="Calibri" w:cs="Calibri"/>
          <w:szCs w:val="22"/>
          <w:lang w:val="es-MX" w:eastAsia="es-CL"/>
        </w:rPr>
      </w:pPr>
    </w:p>
    <w:p w14:paraId="3EC1F8EA" w14:textId="24E97468" w:rsidR="005D5CE1" w:rsidRDefault="005D5CE1" w:rsidP="005D5CE1">
      <w:pPr>
        <w:jc w:val="both"/>
        <w:rPr>
          <w:rFonts w:eastAsia="Calibri" w:cs="Calibri"/>
          <w:szCs w:val="22"/>
          <w:lang w:val="es-MX" w:eastAsia="es-CL"/>
        </w:rPr>
      </w:pPr>
      <w:r w:rsidRPr="005D5CE1">
        <w:rPr>
          <w:rFonts w:eastAsia="Calibri" w:cs="Calibri"/>
          <w:szCs w:val="22"/>
          <w:lang w:val="es-MX" w:eastAsia="es-CL"/>
        </w:rPr>
        <w:t>El horario de atención del Punto Mipe es:</w:t>
      </w:r>
    </w:p>
    <w:p w14:paraId="2B2371FB" w14:textId="77777777" w:rsidR="005D5CE1" w:rsidRPr="005D5CE1" w:rsidRDefault="005D5CE1" w:rsidP="005D5CE1">
      <w:pPr>
        <w:jc w:val="both"/>
        <w:rPr>
          <w:rFonts w:eastAsia="Calibri" w:cs="Calibri"/>
          <w:szCs w:val="22"/>
          <w:lang w:val="es-MX" w:eastAsia="es-CL"/>
        </w:rPr>
      </w:pPr>
    </w:p>
    <w:p w14:paraId="3276F79C" w14:textId="77777777" w:rsidR="005D5CE1" w:rsidRPr="005D5CE1" w:rsidRDefault="005D5CE1" w:rsidP="005D5CE1">
      <w:pPr>
        <w:numPr>
          <w:ilvl w:val="0"/>
          <w:numId w:val="72"/>
        </w:numPr>
        <w:spacing w:after="160" w:line="259" w:lineRule="auto"/>
        <w:jc w:val="both"/>
        <w:rPr>
          <w:rFonts w:eastAsia="Calibri" w:cs="Calibri"/>
          <w:szCs w:val="22"/>
          <w:lang w:val="es-MX" w:eastAsia="es-CL"/>
        </w:rPr>
      </w:pPr>
      <w:r w:rsidRPr="005D5CE1">
        <w:rPr>
          <w:rFonts w:eastAsia="Calibri" w:cs="Calibri"/>
          <w:szCs w:val="22"/>
          <w:lang w:val="es-MX" w:eastAsia="es-CL"/>
        </w:rPr>
        <w:t>De lunes a viernes desde las 09:00 - 18:00 hrs.</w:t>
      </w:r>
    </w:p>
    <w:p w14:paraId="77255DC4" w14:textId="2056031E"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lastRenderedPageBreak/>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Sercotec</w:t>
      </w:r>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54FBCF7" w:rsidR="005210D4"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74B9C1E1" w14:textId="7BA92501" w:rsidR="00AD0FA3" w:rsidRDefault="005210D4" w:rsidP="005210D4">
      <w:pPr>
        <w:rPr>
          <w:rFonts w:cs="Arial"/>
          <w:szCs w:val="22"/>
          <w:lang w:val="es-CL"/>
        </w:rPr>
      </w:pPr>
      <w:r>
        <w:rPr>
          <w:rFonts w:cs="Arial"/>
          <w:szCs w:val="22"/>
          <w:lang w:val="es-CL"/>
        </w:rPr>
        <w:br w:type="page"/>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lastRenderedPageBreak/>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lastRenderedPageBreak/>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51DE7443" w:rsidR="00FA222C" w:rsidRPr="005F487F" w:rsidRDefault="00897BA4"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897BA4" w:rsidRPr="00B93A85" w14:paraId="59E6540B" w14:textId="77777777" w:rsidTr="00791155">
        <w:trPr>
          <w:trHeight w:val="528"/>
          <w:jc w:val="center"/>
        </w:trPr>
        <w:tc>
          <w:tcPr>
            <w:tcW w:w="4130" w:type="pct"/>
            <w:shd w:val="clear" w:color="auto" w:fill="auto"/>
            <w:vAlign w:val="center"/>
          </w:tcPr>
          <w:p w14:paraId="2EE089BC" w14:textId="09B5FB9C" w:rsidR="00897BA4" w:rsidRDefault="00897BA4" w:rsidP="00897BA4">
            <w:pPr>
              <w:pStyle w:val="Prrafodelista"/>
              <w:numPr>
                <w:ilvl w:val="0"/>
                <w:numId w:val="25"/>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7710C86F" w14:textId="3E964329" w:rsidR="00897BA4" w:rsidRDefault="00897BA4" w:rsidP="00897BA4">
            <w:pPr>
              <w:jc w:val="center"/>
              <w:rPr>
                <w:rFonts w:eastAsia="Arial Unicode MS" w:cstheme="minorHAnsi"/>
                <w:bCs/>
                <w:sz w:val="20"/>
                <w:szCs w:val="22"/>
              </w:rPr>
            </w:pPr>
            <w:r>
              <w:rPr>
                <w:rFonts w:eastAsia="Arial Unicode MS" w:cstheme="minorHAnsi"/>
                <w:bCs/>
                <w:sz w:val="20"/>
                <w:szCs w:val="22"/>
              </w:rPr>
              <w:t>5%</w:t>
            </w:r>
          </w:p>
        </w:tc>
      </w:tr>
      <w:tr w:rsidR="00897BA4" w:rsidRPr="00B93A85" w14:paraId="201E460A" w14:textId="77777777" w:rsidTr="00791155">
        <w:trPr>
          <w:trHeight w:val="528"/>
          <w:jc w:val="center"/>
        </w:trPr>
        <w:tc>
          <w:tcPr>
            <w:tcW w:w="4130" w:type="pct"/>
            <w:shd w:val="clear" w:color="auto" w:fill="auto"/>
            <w:vAlign w:val="center"/>
          </w:tcPr>
          <w:p w14:paraId="71980B1C" w14:textId="1F823752" w:rsidR="00897BA4" w:rsidRPr="00380232" w:rsidRDefault="00897BA4" w:rsidP="00897BA4">
            <w:pPr>
              <w:pStyle w:val="Prrafodelista"/>
              <w:numPr>
                <w:ilvl w:val="0"/>
                <w:numId w:val="25"/>
              </w:numPr>
              <w:ind w:left="306" w:hanging="284"/>
              <w:jc w:val="both"/>
              <w:rPr>
                <w:rFonts w:eastAsia="Arial Unicode MS" w:cs="Arial"/>
                <w:bCs/>
                <w:sz w:val="20"/>
                <w:szCs w:val="18"/>
              </w:rPr>
            </w:pPr>
            <w:r>
              <w:rPr>
                <w:rFonts w:eastAsia="Arial Unicode MS" w:cs="Arial"/>
                <w:bCs/>
                <w:sz w:val="20"/>
                <w:szCs w:val="18"/>
              </w:rPr>
              <w:t>P</w:t>
            </w:r>
            <w:r w:rsidRPr="00380232">
              <w:rPr>
                <w:rFonts w:eastAsia="Arial Unicode MS" w:cs="Arial"/>
                <w:bCs/>
                <w:sz w:val="20"/>
                <w:szCs w:val="18"/>
              </w:rPr>
              <w:t xml:space="preserve">otencial de  impacto </w:t>
            </w:r>
            <w:r>
              <w:rPr>
                <w:rFonts w:eastAsia="Arial Unicode MS" w:cs="Arial"/>
                <w:bCs/>
                <w:sz w:val="20"/>
                <w:szCs w:val="18"/>
              </w:rPr>
              <w:t>en la implementación del proyecto postulado (tomado en cuenta variables como: ventas y/o empleo y/o incorporación de nuevas tecnologías).</w:t>
            </w:r>
          </w:p>
        </w:tc>
        <w:tc>
          <w:tcPr>
            <w:tcW w:w="870" w:type="pct"/>
            <w:shd w:val="clear" w:color="auto" w:fill="auto"/>
            <w:vAlign w:val="center"/>
          </w:tcPr>
          <w:p w14:paraId="70EF1C51" w14:textId="662CAD6C" w:rsidR="00897BA4" w:rsidRPr="005F487F" w:rsidRDefault="00897BA4" w:rsidP="00897BA4">
            <w:pPr>
              <w:jc w:val="center"/>
              <w:rPr>
                <w:rFonts w:eastAsia="Arial Unicode MS" w:cstheme="minorHAnsi"/>
                <w:bCs/>
                <w:sz w:val="20"/>
                <w:szCs w:val="22"/>
              </w:rPr>
            </w:pPr>
            <w:r>
              <w:rPr>
                <w:rFonts w:eastAsia="Arial Unicode MS" w:cstheme="minorHAnsi"/>
                <w:bCs/>
                <w:sz w:val="20"/>
                <w:szCs w:val="22"/>
              </w:rPr>
              <w:t>3</w:t>
            </w:r>
            <w:r w:rsidRPr="005F487F">
              <w:rPr>
                <w:rFonts w:eastAsia="Arial Unicode MS" w:cstheme="minorHAnsi"/>
                <w:bCs/>
                <w:sz w:val="20"/>
                <w:szCs w:val="22"/>
              </w:rPr>
              <w:t>0%</w:t>
            </w:r>
          </w:p>
        </w:tc>
      </w:tr>
      <w:tr w:rsidR="00897BA4" w:rsidRPr="00B93A85" w14:paraId="1ACBE1AF" w14:textId="77777777" w:rsidTr="00791155">
        <w:trPr>
          <w:trHeight w:val="515"/>
          <w:jc w:val="center"/>
        </w:trPr>
        <w:tc>
          <w:tcPr>
            <w:tcW w:w="4130" w:type="pct"/>
            <w:shd w:val="clear" w:color="auto" w:fill="auto"/>
            <w:vAlign w:val="center"/>
          </w:tcPr>
          <w:p w14:paraId="4471B5CA" w14:textId="71BD6F1E" w:rsidR="00897BA4" w:rsidRPr="00380232" w:rsidRDefault="00897BA4" w:rsidP="00897BA4">
            <w:pPr>
              <w:pStyle w:val="Prrafodelista"/>
              <w:numPr>
                <w:ilvl w:val="0"/>
                <w:numId w:val="25"/>
              </w:numPr>
              <w:ind w:left="306" w:hanging="284"/>
              <w:rPr>
                <w:rFonts w:eastAsia="Arial Unicode MS" w:cs="Arial"/>
                <w:bCs/>
                <w:sz w:val="20"/>
                <w:szCs w:val="18"/>
              </w:rPr>
            </w:pPr>
            <w:r w:rsidRPr="00380232">
              <w:rPr>
                <w:rFonts w:eastAsia="Arial Unicode MS" w:cs="Arial"/>
                <w:bCs/>
                <w:sz w:val="20"/>
                <w:szCs w:val="18"/>
              </w:rPr>
              <w:t>Micro y pequeñas empresas lideradas por mujeres</w:t>
            </w:r>
          </w:p>
        </w:tc>
        <w:tc>
          <w:tcPr>
            <w:tcW w:w="870" w:type="pct"/>
            <w:shd w:val="clear" w:color="auto" w:fill="auto"/>
            <w:vAlign w:val="center"/>
          </w:tcPr>
          <w:p w14:paraId="5957DD26" w14:textId="2D12002A" w:rsidR="00897BA4" w:rsidRPr="005F487F" w:rsidRDefault="00897BA4" w:rsidP="00897BA4">
            <w:pPr>
              <w:jc w:val="center"/>
              <w:rPr>
                <w:rFonts w:eastAsia="Arial Unicode MS" w:cstheme="minorHAnsi"/>
                <w:bCs/>
                <w:sz w:val="20"/>
                <w:szCs w:val="22"/>
              </w:rPr>
            </w:pPr>
            <w:r>
              <w:rPr>
                <w:rFonts w:eastAsia="Arial Unicode MS" w:cstheme="minorHAnsi"/>
                <w:bCs/>
                <w:sz w:val="20"/>
                <w:szCs w:val="22"/>
              </w:rPr>
              <w:t>15</w:t>
            </w:r>
            <w:r w:rsidRPr="005F487F">
              <w:rPr>
                <w:rFonts w:eastAsia="Arial Unicode MS" w:cstheme="minorHAnsi"/>
                <w:bCs/>
                <w:sz w:val="20"/>
                <w:szCs w:val="22"/>
              </w:rPr>
              <w:t>%</w:t>
            </w:r>
          </w:p>
        </w:tc>
      </w:tr>
      <w:tr w:rsidR="00897BA4"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145A12BB" w14:textId="06F89B3E" w:rsidR="00897BA4" w:rsidRDefault="00897BA4" w:rsidP="00897BA4">
            <w:pPr>
              <w:pStyle w:val="Prrafodelista"/>
              <w:numPr>
                <w:ilvl w:val="0"/>
                <w:numId w:val="25"/>
              </w:numPr>
              <w:ind w:left="306" w:hanging="284"/>
              <w:rPr>
                <w:rFonts w:eastAsia="Arial Unicode MS" w:cs="Arial"/>
                <w:bCs/>
                <w:sz w:val="20"/>
                <w:szCs w:val="18"/>
              </w:rPr>
            </w:pPr>
            <w:r w:rsidRPr="00380232">
              <w:rPr>
                <w:rFonts w:eastAsia="Arial Unicode MS" w:cs="Arial"/>
                <w:bCs/>
                <w:sz w:val="20"/>
                <w:szCs w:val="18"/>
              </w:rPr>
              <w:t>Proyectos desarrollados en las comunas que forman parte de la Zona Rezagada de la Región de Valparaíso categorizada por el Gobierno Regional de Valparaíso.</w:t>
            </w:r>
            <w:r w:rsidRPr="00380232">
              <w:rPr>
                <w:rFonts w:eastAsia="Arial Unicode MS" w:cs="Arial"/>
                <w:bCs/>
                <w:sz w:val="20"/>
                <w:szCs w:val="18"/>
              </w:rPr>
              <w:br/>
              <w:t xml:space="preserve">Comunas: La Ligua, Petorca, Cabildo, Nogales, Catemu o Llay-Llay. Territorios insulares: comunas de Isla de Pascua o Juan Fernández. </w:t>
            </w:r>
          </w:p>
          <w:p w14:paraId="0A683D7E" w14:textId="77777777" w:rsidR="00897BA4" w:rsidRPr="00380232" w:rsidRDefault="00897BA4" w:rsidP="00897BA4">
            <w:pPr>
              <w:pStyle w:val="Prrafodelista"/>
              <w:ind w:left="306"/>
              <w:rPr>
                <w:rFonts w:eastAsia="Arial Unicode MS" w:cs="Arial"/>
                <w:bCs/>
                <w:sz w:val="20"/>
                <w:szCs w:val="18"/>
              </w:rPr>
            </w:pPr>
          </w:p>
          <w:p w14:paraId="3149D0DE" w14:textId="6F0ED044" w:rsidR="00897BA4" w:rsidRPr="00380232" w:rsidRDefault="00897BA4" w:rsidP="00897BA4">
            <w:pPr>
              <w:pStyle w:val="Prrafodelista"/>
              <w:ind w:left="306"/>
              <w:jc w:val="both"/>
              <w:rPr>
                <w:rFonts w:eastAsia="Arial Unicode MS" w:cs="Arial"/>
                <w:bCs/>
                <w:sz w:val="20"/>
                <w:szCs w:val="18"/>
              </w:rPr>
            </w:pPr>
            <w:r w:rsidRPr="00380232">
              <w:rPr>
                <w:rFonts w:eastAsia="Arial Unicode MS" w:cs="Arial"/>
                <w:bCs/>
                <w:sz w:val="20"/>
                <w:szCs w:val="18"/>
              </w:rPr>
              <w:t>La empresa debe tener domicilio comercial principal y/o sucursal en las comunas focalizadas, donde implementará el proyecto.</w:t>
            </w:r>
          </w:p>
        </w:tc>
        <w:tc>
          <w:tcPr>
            <w:tcW w:w="870" w:type="pct"/>
            <w:tcBorders>
              <w:bottom w:val="single" w:sz="4" w:space="0" w:color="auto"/>
            </w:tcBorders>
            <w:shd w:val="clear" w:color="auto" w:fill="auto"/>
            <w:vAlign w:val="center"/>
          </w:tcPr>
          <w:p w14:paraId="77DEA5F1" w14:textId="44B70054" w:rsidR="00897BA4" w:rsidRPr="005F487F" w:rsidRDefault="00897BA4" w:rsidP="00897BA4">
            <w:pPr>
              <w:jc w:val="center"/>
              <w:rPr>
                <w:rFonts w:eastAsia="Arial Unicode MS" w:cstheme="minorHAnsi"/>
                <w:bCs/>
                <w:sz w:val="20"/>
                <w:szCs w:val="22"/>
              </w:rPr>
            </w:pPr>
            <w:r>
              <w:rPr>
                <w:rFonts w:eastAsia="Arial Unicode MS" w:cstheme="minorHAnsi"/>
                <w:bCs/>
                <w:sz w:val="20"/>
                <w:szCs w:val="22"/>
              </w:rPr>
              <w:t>15</w:t>
            </w:r>
            <w:r w:rsidRPr="005F487F">
              <w:rPr>
                <w:rFonts w:eastAsia="Arial Unicode MS" w:cstheme="minorHAnsi"/>
                <w:bCs/>
                <w:sz w:val="20"/>
                <w:szCs w:val="22"/>
              </w:rPr>
              <w:t xml:space="preserve">% </w:t>
            </w:r>
          </w:p>
        </w:tc>
      </w:tr>
      <w:tr w:rsidR="00897BA4" w:rsidRPr="00B93A85" w14:paraId="5826CE1A" w14:textId="77777777" w:rsidTr="00791155">
        <w:trPr>
          <w:jc w:val="center"/>
        </w:trPr>
        <w:tc>
          <w:tcPr>
            <w:tcW w:w="4130" w:type="pct"/>
            <w:shd w:val="pct15" w:color="auto" w:fill="FFFFFF" w:themeFill="background1"/>
            <w:vAlign w:val="center"/>
          </w:tcPr>
          <w:p w14:paraId="1A9DB91D" w14:textId="77777777" w:rsidR="00897BA4" w:rsidRPr="00176AC1" w:rsidRDefault="00897BA4" w:rsidP="00897BA4">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897BA4" w:rsidRPr="00176AC1" w:rsidRDefault="00897BA4" w:rsidP="00897BA4">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lastRenderedPageBreak/>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448C423F"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w:t>
      </w:r>
      <w:bookmarkStart w:id="79" w:name="_GoBack"/>
      <w:bookmarkEnd w:id="79"/>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lastRenderedPageBreak/>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contados desde la fecha de firma del contrato; no obstante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2FB0B3CA"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521C258" w14:textId="55989F9C" w:rsidR="00F90B1C" w:rsidRDefault="00F90B1C">
      <w:pPr>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lastRenderedPageBreak/>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27FA63DE" w14:textId="112202AF" w:rsidR="00AB3517" w:rsidRPr="00380232" w:rsidRDefault="00703513" w:rsidP="00E53E31">
      <w:pPr>
        <w:pStyle w:val="Ttulo20"/>
        <w:numPr>
          <w:ilvl w:val="1"/>
          <w:numId w:val="14"/>
        </w:numPr>
        <w:tabs>
          <w:tab w:val="clear" w:pos="709"/>
          <w:tab w:val="left" w:pos="284"/>
        </w:tabs>
        <w:ind w:left="426" w:hanging="426"/>
        <w:jc w:val="both"/>
        <w:rPr>
          <w:rFonts w:eastAsia="Arial Unicode MS" w:cs="Arial"/>
          <w:szCs w:val="22"/>
        </w:rPr>
      </w:pPr>
      <w:r w:rsidRPr="00380232">
        <w:rPr>
          <w:rFonts w:eastAsia="Arial Unicode MS"/>
          <w:szCs w:val="22"/>
        </w:rPr>
        <w:t>I</w:t>
      </w:r>
      <w:r w:rsidR="00F27352" w:rsidRPr="00380232">
        <w:rPr>
          <w:rFonts w:eastAsia="Arial Unicode MS"/>
          <w:szCs w:val="22"/>
        </w:rPr>
        <w:t>mplementación del Plan de Trabajo</w:t>
      </w:r>
      <w:bookmarkEnd w:id="82"/>
    </w:p>
    <w:p w14:paraId="0BE9F1E5" w14:textId="77777777" w:rsidR="00380232" w:rsidRDefault="00380232" w:rsidP="008C599F">
      <w:pPr>
        <w:jc w:val="both"/>
        <w:rPr>
          <w:rFonts w:eastAsia="Arial Unicode MS" w:cs="Arial"/>
          <w:szCs w:val="22"/>
        </w:rPr>
      </w:pPr>
    </w:p>
    <w:p w14:paraId="6CE106A7" w14:textId="238DA46F"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2135079C"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266CB5">
        <w:rPr>
          <w:rFonts w:eastAsia="Arial Unicode MS" w:cs="Arial"/>
          <w:szCs w:val="22"/>
        </w:rPr>
        <w:t>2</w:t>
      </w:r>
      <w:r w:rsidR="00B84C45" w:rsidRPr="004E6C2A">
        <w:rPr>
          <w:rFonts w:eastAsia="Arial Unicode MS" w:cs="Arial"/>
          <w:szCs w:val="22"/>
        </w:rPr>
        <w:t>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266CB5">
        <w:rPr>
          <w:rFonts w:eastAsia="Arial Unicode MS" w:cs="Arial"/>
          <w:szCs w:val="22"/>
        </w:rPr>
        <w:t>dos</w:t>
      </w:r>
      <w:r w:rsidR="00B84C45" w:rsidRPr="004E6C2A">
        <w:rPr>
          <w:rFonts w:eastAsia="Arial Unicode MS" w:cs="Arial"/>
          <w:szCs w:val="22"/>
        </w:rPr>
        <w:t>cien</w:t>
      </w:r>
      <w:r w:rsidR="00266CB5">
        <w:rPr>
          <w:rFonts w:eastAsia="Arial Unicode MS" w:cs="Arial"/>
          <w:szCs w:val="22"/>
        </w:rPr>
        <w:t>tos</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27B563F5"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42E45">
        <w:rPr>
          <w:rFonts w:cs="Arial"/>
          <w:bCs/>
          <w:szCs w:val="22"/>
        </w:rPr>
        <w:t>El Agente O</w:t>
      </w:r>
      <w:r w:rsidR="004746C2" w:rsidRPr="004746C2">
        <w:rPr>
          <w:rFonts w:cs="Arial"/>
          <w:bCs/>
          <w:szCs w:val="22"/>
        </w:rPr>
        <w:t xml:space="preserve">perador reembolsará los recursos correspondientes en un plazo no superior a 10 (diez) días hábiles administrativos contados desde la recepción conforme por parte del agente de toda la documentación requerida para efectos de la rendición del gasto </w:t>
      </w:r>
      <w:r w:rsidR="004746C2" w:rsidRPr="004746C2">
        <w:rPr>
          <w:rFonts w:cs="Arial"/>
          <w:bCs/>
          <w:szCs w:val="22"/>
        </w:rPr>
        <w:lastRenderedPageBreak/>
        <w:t>correspondiente (el beneficiario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1"/>
      </w:r>
      <w:r w:rsidRPr="00281913">
        <w:rPr>
          <w:rFonts w:cs="Arial"/>
          <w:szCs w:val="22"/>
        </w:rPr>
        <w:t>. El gasto en cada ítem y/o subitem debe realizarse cumpliendo la proporción entre el subsidio de Sercotec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Sercotec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lastRenderedPageBreak/>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88AA7D1"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266CB5">
              <w:rPr>
                <w:rFonts w:cs="Calibri"/>
                <w:sz w:val="18"/>
                <w:szCs w:val="18"/>
                <w:lang w:val="es-CL" w:eastAsia="en-US"/>
              </w:rPr>
              <w:t>Valparaíso</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5DAF4A7E" w:rsidR="00837F58" w:rsidRPr="00A31C09" w:rsidRDefault="00A31C09" w:rsidP="00A31C09">
            <w:pPr>
              <w:pStyle w:val="Prrafodelista"/>
              <w:numPr>
                <w:ilvl w:val="0"/>
                <w:numId w:val="26"/>
              </w:numPr>
              <w:ind w:left="306" w:hanging="284"/>
              <w:contextualSpacing/>
              <w:jc w:val="both"/>
              <w:rPr>
                <w:rFonts w:cs="Calibri"/>
                <w:sz w:val="18"/>
                <w:szCs w:val="18"/>
                <w:lang w:eastAsia="en-US"/>
              </w:rPr>
            </w:pPr>
            <w:r w:rsidRPr="00A31C09">
              <w:rPr>
                <w:rFonts w:cs="Calibri"/>
                <w:sz w:val="18"/>
                <w:szCs w:val="18"/>
                <w:lang w:eastAsia="en-US"/>
              </w:rPr>
              <w:t xml:space="preserve">No haber sido beneficiado del instrumento Crece año 2022 y 2023, y Digitaliza tu Almacén 2023, cualquier </w:t>
            </w:r>
            <w:r w:rsidRPr="00A31C09">
              <w:rPr>
                <w:rFonts w:cs="Calibri"/>
                <w:sz w:val="18"/>
                <w:szCs w:val="18"/>
                <w:lang w:eastAsia="en-US"/>
              </w:rPr>
              <w:lastRenderedPageBreak/>
              <w:t>fuente de financiamiento.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D93F79"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6E31025"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r w:rsidR="00BC5736">
              <w:rPr>
                <w:rFonts w:cs="Calibri"/>
                <w:sz w:val="18"/>
                <w:szCs w:val="18"/>
              </w:rPr>
              <w:t>, de corresponder</w:t>
            </w:r>
            <w:r w:rsidRPr="00F46CA2">
              <w:rPr>
                <w:rFonts w:cs="Calibri"/>
                <w:sz w:val="18"/>
                <w:szCs w:val="18"/>
              </w:rPr>
              <w:t>.</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D93F79"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3EC4E7A4" w:rsidR="000E3ACD" w:rsidRPr="00F46CA2" w:rsidRDefault="00F46CA2" w:rsidP="00361EEF">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266CB5">
              <w:rPr>
                <w:rFonts w:cs="Calibri"/>
                <w:sz w:val="18"/>
                <w:szCs w:val="18"/>
              </w:rPr>
              <w:t>Valparaíso</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D93F79"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FBDCFFC" w:rsidR="004C23D0" w:rsidRPr="00E111E0" w:rsidRDefault="00867075" w:rsidP="002265E0">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La iniciación de actividades de la empresa debe ser coherente con la focalización de la convocatoria.</w:t>
            </w:r>
            <w:r w:rsidR="00E111E0" w:rsidRPr="00E111E0">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1B55AC95" w14:textId="77777777" w:rsidR="00914490" w:rsidRDefault="00914490" w:rsidP="004C23D0">
      <w:pPr>
        <w:jc w:val="both"/>
        <w:rPr>
          <w:rFonts w:cs="Calibri"/>
          <w:b/>
          <w:sz w:val="20"/>
          <w:szCs w:val="18"/>
        </w:rPr>
      </w:pPr>
    </w:p>
    <w:p w14:paraId="17E8425C" w14:textId="77777777" w:rsidR="00914490" w:rsidRDefault="00914490"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4B1B7D04" w:rsidR="009712D9" w:rsidRPr="00C36F35" w:rsidRDefault="00C36F35" w:rsidP="00847B01">
            <w:pPr>
              <w:pStyle w:val="Prrafodelista"/>
              <w:numPr>
                <w:ilvl w:val="0"/>
                <w:numId w:val="26"/>
              </w:numPr>
              <w:ind w:left="306" w:hanging="306"/>
              <w:contextualSpacing/>
              <w:jc w:val="both"/>
              <w:rPr>
                <w:rFonts w:eastAsia="Arial Unicode MS" w:cs="Calibri"/>
                <w:sz w:val="18"/>
                <w:szCs w:val="18"/>
                <w:lang w:val="es-CL" w:eastAsia="en-US"/>
              </w:rPr>
            </w:pPr>
            <w:r w:rsidRPr="00C36F35">
              <w:rPr>
                <w:rFonts w:eastAsia="Arial Unicode MS" w:cs="Calibri"/>
                <w:sz w:val="18"/>
                <w:szCs w:val="18"/>
                <w:lang w:val="es-CL" w:eastAsia="en-US"/>
              </w:rPr>
              <w:t xml:space="preserve">No haber sido beneficiado del instrumento Crece año 2022 y 2023, y Digitaliza tu Almacén 2023,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3E13BB0D" w:rsidR="008F095A" w:rsidRPr="009712D9" w:rsidRDefault="008F095A" w:rsidP="00847B01">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747F600C"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________________ de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BA1F11">
        <w:rPr>
          <w:b/>
        </w:rPr>
        <w:t>MULTISECTORIAL</w:t>
      </w:r>
      <w:r w:rsidR="00C84733">
        <w:rPr>
          <w:b/>
        </w:rPr>
        <w:t xml:space="preserve">, Región de </w:t>
      </w:r>
      <w:r w:rsidR="00266CB5">
        <w:rPr>
          <w:b/>
        </w:rPr>
        <w:t>Valparaíso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3539"/>
        <w:gridCol w:w="7529"/>
        <w:gridCol w:w="850"/>
        <w:gridCol w:w="1335"/>
      </w:tblGrid>
      <w:tr w:rsidR="001F2E83" w:rsidRPr="004F6B61" w14:paraId="32D73F14" w14:textId="77777777" w:rsidTr="00380232">
        <w:trPr>
          <w:jc w:val="center"/>
        </w:trPr>
        <w:tc>
          <w:tcPr>
            <w:tcW w:w="353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52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380232">
        <w:trPr>
          <w:jc w:val="center"/>
        </w:trPr>
        <w:tc>
          <w:tcPr>
            <w:tcW w:w="3539" w:type="dxa"/>
            <w:vMerge w:val="restart"/>
            <w:vAlign w:val="center"/>
            <w:hideMark/>
          </w:tcPr>
          <w:p w14:paraId="069BB238" w14:textId="138E16EB" w:rsidR="008F0968" w:rsidRPr="00897BA4" w:rsidRDefault="008F0968" w:rsidP="00897BA4">
            <w:pPr>
              <w:pStyle w:val="Prrafodelista"/>
              <w:numPr>
                <w:ilvl w:val="1"/>
                <w:numId w:val="18"/>
              </w:numPr>
              <w:ind w:left="167" w:hanging="167"/>
              <w:rPr>
                <w:rFonts w:cstheme="minorHAnsi"/>
                <w:b/>
                <w:sz w:val="19"/>
                <w:szCs w:val="19"/>
                <w:lang w:val="es-CL" w:eastAsia="en-US"/>
              </w:rPr>
            </w:pPr>
            <w:r w:rsidRPr="00897BA4">
              <w:rPr>
                <w:rFonts w:cstheme="minorHAnsi"/>
                <w:b/>
                <w:sz w:val="19"/>
                <w:szCs w:val="19"/>
              </w:rPr>
              <w:t>Potencial d</w:t>
            </w:r>
            <w:r w:rsidR="003D39C8" w:rsidRPr="00897BA4">
              <w:rPr>
                <w:rFonts w:cstheme="minorHAnsi"/>
                <w:b/>
                <w:sz w:val="19"/>
                <w:szCs w:val="19"/>
              </w:rPr>
              <w:t>el</w:t>
            </w:r>
            <w:r w:rsidRPr="00897BA4">
              <w:rPr>
                <w:rFonts w:cstheme="minorHAnsi"/>
                <w:b/>
                <w:sz w:val="19"/>
                <w:szCs w:val="19"/>
              </w:rPr>
              <w:t xml:space="preserve"> </w:t>
            </w:r>
            <w:r w:rsidR="003D39C8" w:rsidRPr="00897BA4">
              <w:rPr>
                <w:rFonts w:cstheme="minorHAnsi"/>
                <w:b/>
                <w:sz w:val="19"/>
                <w:szCs w:val="19"/>
              </w:rPr>
              <w:t>Proyecto</w:t>
            </w:r>
            <w:r w:rsidRPr="00897BA4">
              <w:rPr>
                <w:rFonts w:cstheme="minorHAnsi"/>
                <w:b/>
                <w:sz w:val="19"/>
                <w:szCs w:val="19"/>
              </w:rPr>
              <w:t xml:space="preserve"> de Negocio</w:t>
            </w:r>
          </w:p>
        </w:tc>
        <w:tc>
          <w:tcPr>
            <w:tcW w:w="7529" w:type="dxa"/>
            <w:vAlign w:val="center"/>
            <w:hideMark/>
          </w:tcPr>
          <w:p w14:paraId="0A39E5CE" w14:textId="77777777" w:rsidR="008F0968" w:rsidRPr="00C613CE" w:rsidRDefault="008F0968" w:rsidP="008F0968">
            <w:pPr>
              <w:jc w:val="both"/>
              <w:rPr>
                <w:rFonts w:cstheme="minorHAnsi"/>
                <w:b/>
                <w:sz w:val="18"/>
                <w:szCs w:val="18"/>
              </w:rPr>
            </w:pPr>
            <w:r w:rsidRPr="00C613CE">
              <w:rPr>
                <w:rFonts w:cstheme="minorHAnsi"/>
                <w:b/>
                <w:sz w:val="18"/>
                <w:szCs w:val="18"/>
              </w:rPr>
              <w:t>Alta proyección:</w:t>
            </w:r>
          </w:p>
          <w:p w14:paraId="5C18B109" w14:textId="5EAD15BA" w:rsidR="008F0968" w:rsidRPr="00C613CE" w:rsidRDefault="008F0968" w:rsidP="003D39C8">
            <w:pPr>
              <w:jc w:val="both"/>
              <w:rPr>
                <w:rFonts w:cstheme="minorHAnsi"/>
                <w:sz w:val="18"/>
                <w:szCs w:val="18"/>
              </w:rPr>
            </w:pPr>
            <w:r w:rsidRPr="00C613CE">
              <w:rPr>
                <w:rFonts w:cstheme="minorHAnsi"/>
                <w:sz w:val="18"/>
                <w:szCs w:val="18"/>
              </w:rPr>
              <w:t>El análisis de las</w:t>
            </w:r>
            <w:r w:rsidR="003D39C8" w:rsidRPr="00C613CE">
              <w:rPr>
                <w:rFonts w:cstheme="minorHAnsi"/>
                <w:sz w:val="18"/>
                <w:szCs w:val="18"/>
              </w:rPr>
              <w:t xml:space="preserve"> fortalezas y debilidades del Proyecto</w:t>
            </w:r>
            <w:r w:rsidRPr="00C613CE">
              <w:rPr>
                <w:rFonts w:cstheme="minorHAnsi"/>
                <w:sz w:val="18"/>
                <w:szCs w:val="18"/>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C613CE" w:rsidRDefault="008F0968" w:rsidP="008F0968">
            <w:pPr>
              <w:jc w:val="center"/>
              <w:rPr>
                <w:rFonts w:cstheme="minorHAnsi"/>
                <w:sz w:val="18"/>
                <w:szCs w:val="18"/>
                <w:lang w:val="es-CL" w:eastAsia="en-US"/>
              </w:rPr>
            </w:pPr>
            <w:r w:rsidRPr="00C613CE">
              <w:rPr>
                <w:rFonts w:cstheme="minorHAnsi"/>
                <w:sz w:val="18"/>
                <w:szCs w:val="18"/>
              </w:rPr>
              <w:t>7</w:t>
            </w:r>
          </w:p>
        </w:tc>
        <w:tc>
          <w:tcPr>
            <w:tcW w:w="1335" w:type="dxa"/>
            <w:vMerge w:val="restart"/>
            <w:vAlign w:val="center"/>
            <w:hideMark/>
          </w:tcPr>
          <w:p w14:paraId="24A4BACB" w14:textId="786E9CDA" w:rsidR="008F0968" w:rsidRPr="00B203A1" w:rsidRDefault="00C613CE"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380232">
        <w:trPr>
          <w:jc w:val="center"/>
        </w:trPr>
        <w:tc>
          <w:tcPr>
            <w:tcW w:w="3539"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7529" w:type="dxa"/>
            <w:vAlign w:val="center"/>
            <w:hideMark/>
          </w:tcPr>
          <w:p w14:paraId="44D4EADC" w14:textId="77777777" w:rsidR="008F0968" w:rsidRPr="00C613CE" w:rsidRDefault="008F0968" w:rsidP="008F0968">
            <w:pPr>
              <w:jc w:val="both"/>
              <w:rPr>
                <w:rFonts w:cstheme="minorHAnsi"/>
                <w:b/>
                <w:sz w:val="18"/>
                <w:szCs w:val="18"/>
              </w:rPr>
            </w:pPr>
            <w:r w:rsidRPr="00C613CE">
              <w:rPr>
                <w:rFonts w:cstheme="minorHAnsi"/>
                <w:b/>
                <w:sz w:val="18"/>
                <w:szCs w:val="18"/>
              </w:rPr>
              <w:t>Buena proyección:</w:t>
            </w:r>
          </w:p>
          <w:p w14:paraId="4E08B353" w14:textId="5540120F" w:rsidR="008F0968" w:rsidRPr="00C613CE" w:rsidRDefault="008F0968" w:rsidP="008F0968">
            <w:pPr>
              <w:jc w:val="both"/>
              <w:rPr>
                <w:rFonts w:cstheme="minorHAnsi"/>
                <w:sz w:val="18"/>
                <w:szCs w:val="18"/>
              </w:rPr>
            </w:pPr>
            <w:r w:rsidRPr="00C613CE">
              <w:rPr>
                <w:rFonts w:cstheme="minorHAnsi"/>
                <w:sz w:val="18"/>
                <w:szCs w:val="18"/>
              </w:rPr>
              <w:t xml:space="preserve">El análisis de las fortalezas y debilidades </w:t>
            </w:r>
            <w:r w:rsidR="003D39C8" w:rsidRPr="00C613CE">
              <w:rPr>
                <w:rFonts w:cstheme="minorHAnsi"/>
                <w:sz w:val="18"/>
                <w:szCs w:val="18"/>
              </w:rPr>
              <w:t>del Proyecto de Negocio</w:t>
            </w:r>
            <w:r w:rsidRPr="00C613CE">
              <w:rPr>
                <w:rFonts w:cstheme="minorHAnsi"/>
                <w:sz w:val="18"/>
                <w:szCs w:val="18"/>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C613CE" w:rsidRDefault="008F0968" w:rsidP="008F0968">
            <w:pPr>
              <w:jc w:val="center"/>
              <w:rPr>
                <w:rFonts w:cstheme="minorHAnsi"/>
                <w:sz w:val="18"/>
                <w:szCs w:val="18"/>
                <w:lang w:val="es-CL" w:eastAsia="en-US"/>
              </w:rPr>
            </w:pPr>
            <w:r w:rsidRPr="00C613CE">
              <w:rPr>
                <w:rFonts w:cstheme="minorHAnsi"/>
                <w:sz w:val="18"/>
                <w:szCs w:val="18"/>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380232">
        <w:trPr>
          <w:jc w:val="center"/>
        </w:trPr>
        <w:tc>
          <w:tcPr>
            <w:tcW w:w="3539"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7529" w:type="dxa"/>
            <w:vAlign w:val="center"/>
            <w:hideMark/>
          </w:tcPr>
          <w:p w14:paraId="0CC17DC3" w14:textId="77777777" w:rsidR="008F0968" w:rsidRPr="00C613CE" w:rsidRDefault="008F0968" w:rsidP="008F0968">
            <w:pPr>
              <w:jc w:val="both"/>
              <w:rPr>
                <w:rFonts w:cstheme="minorHAnsi"/>
                <w:sz w:val="18"/>
                <w:szCs w:val="18"/>
              </w:rPr>
            </w:pPr>
            <w:r w:rsidRPr="00C613CE">
              <w:rPr>
                <w:rFonts w:cstheme="minorHAnsi"/>
                <w:sz w:val="18"/>
                <w:szCs w:val="18"/>
              </w:rPr>
              <w:t>Escasa proyección:</w:t>
            </w:r>
          </w:p>
          <w:p w14:paraId="3FA4D71A" w14:textId="5042BE6B" w:rsidR="008F0968" w:rsidRPr="00C613CE" w:rsidRDefault="008F0968" w:rsidP="008F0968">
            <w:pPr>
              <w:jc w:val="both"/>
              <w:rPr>
                <w:rFonts w:cstheme="minorHAnsi"/>
                <w:sz w:val="18"/>
                <w:szCs w:val="18"/>
              </w:rPr>
            </w:pPr>
            <w:r w:rsidRPr="00C613CE">
              <w:rPr>
                <w:rFonts w:cstheme="minorHAnsi"/>
                <w:sz w:val="18"/>
                <w:szCs w:val="18"/>
              </w:rPr>
              <w:t xml:space="preserve">El análisis de las fortalezas y debilidades </w:t>
            </w:r>
            <w:r w:rsidR="003D39C8" w:rsidRPr="00C613CE">
              <w:rPr>
                <w:rFonts w:cstheme="minorHAnsi"/>
                <w:sz w:val="18"/>
                <w:szCs w:val="18"/>
              </w:rPr>
              <w:t>del Proyecto de Negocio</w:t>
            </w:r>
            <w:r w:rsidRPr="00C613CE">
              <w:rPr>
                <w:rFonts w:cstheme="minorHAnsi"/>
                <w:sz w:val="18"/>
                <w:szCs w:val="18"/>
              </w:rPr>
              <w:t xml:space="preserve"> y las evaluaciones realizadas a la empresa y el empresario/a, permiten prever que el plan es sustentable en el corto plazo. Del análisis de las fortalezas y debilidades </w:t>
            </w:r>
            <w:r w:rsidR="003D39C8" w:rsidRPr="00C613CE">
              <w:rPr>
                <w:rFonts w:cstheme="minorHAnsi"/>
                <w:sz w:val="18"/>
                <w:szCs w:val="18"/>
              </w:rPr>
              <w:t>del Proyecto de Negocio</w:t>
            </w:r>
            <w:r w:rsidRPr="00C613CE">
              <w:rPr>
                <w:rFonts w:cstheme="minorHAnsi"/>
                <w:sz w:val="18"/>
                <w:szCs w:val="18"/>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C613CE" w:rsidRDefault="008F0968" w:rsidP="008F0968">
            <w:pPr>
              <w:jc w:val="center"/>
              <w:rPr>
                <w:rFonts w:cstheme="minorHAnsi"/>
                <w:sz w:val="18"/>
                <w:szCs w:val="18"/>
                <w:lang w:val="es-CL" w:eastAsia="en-US"/>
              </w:rPr>
            </w:pPr>
            <w:r w:rsidRPr="00C613CE">
              <w:rPr>
                <w:rFonts w:cstheme="minorHAnsi"/>
                <w:sz w:val="18"/>
                <w:szCs w:val="18"/>
              </w:rPr>
              <w:t>3</w:t>
            </w:r>
          </w:p>
        </w:tc>
        <w:tc>
          <w:tcPr>
            <w:tcW w:w="1335" w:type="dxa"/>
            <w:vMerge/>
            <w:vAlign w:val="center"/>
            <w:hideMark/>
          </w:tcPr>
          <w:p w14:paraId="020224EF" w14:textId="77777777" w:rsidR="008F0968" w:rsidRPr="00F3166B" w:rsidRDefault="008F0968" w:rsidP="008F0968">
            <w:pPr>
              <w:rPr>
                <w:rFonts w:cstheme="minorHAnsi"/>
                <w:sz w:val="19"/>
                <w:szCs w:val="19"/>
                <w:lang w:val="es-CL" w:eastAsia="en-US"/>
              </w:rPr>
            </w:pPr>
          </w:p>
        </w:tc>
      </w:tr>
      <w:tr w:rsidR="008F0968" w:rsidRPr="004F6B61" w14:paraId="105CDD7C" w14:textId="77777777" w:rsidTr="00380232">
        <w:trPr>
          <w:jc w:val="center"/>
        </w:trPr>
        <w:tc>
          <w:tcPr>
            <w:tcW w:w="3539"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7529" w:type="dxa"/>
            <w:vAlign w:val="center"/>
            <w:hideMark/>
          </w:tcPr>
          <w:p w14:paraId="61F575C9" w14:textId="77777777" w:rsidR="008F0968" w:rsidRPr="00C613CE" w:rsidRDefault="008F0968" w:rsidP="008F0968">
            <w:pPr>
              <w:jc w:val="both"/>
              <w:rPr>
                <w:rFonts w:cstheme="minorHAnsi"/>
                <w:sz w:val="18"/>
                <w:szCs w:val="18"/>
              </w:rPr>
            </w:pPr>
            <w:r w:rsidRPr="00C613CE">
              <w:rPr>
                <w:rFonts w:cstheme="minorHAnsi"/>
                <w:sz w:val="18"/>
                <w:szCs w:val="18"/>
              </w:rPr>
              <w:t>Nula proyección:</w:t>
            </w:r>
          </w:p>
          <w:p w14:paraId="7BA87F91" w14:textId="20B48CD1" w:rsidR="008F0968" w:rsidRPr="00C613CE" w:rsidRDefault="008F0968" w:rsidP="008F0968">
            <w:pPr>
              <w:jc w:val="both"/>
              <w:rPr>
                <w:rFonts w:cstheme="minorHAnsi"/>
                <w:sz w:val="18"/>
                <w:szCs w:val="18"/>
              </w:rPr>
            </w:pPr>
            <w:r w:rsidRPr="00C613CE">
              <w:rPr>
                <w:rFonts w:cstheme="minorHAnsi"/>
                <w:sz w:val="18"/>
                <w:szCs w:val="18"/>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C613CE" w:rsidRDefault="008F0968" w:rsidP="008F0968">
            <w:pPr>
              <w:jc w:val="center"/>
              <w:rPr>
                <w:rFonts w:cstheme="minorHAnsi"/>
                <w:sz w:val="18"/>
                <w:szCs w:val="18"/>
                <w:lang w:val="es-CL" w:eastAsia="en-US"/>
              </w:rPr>
            </w:pPr>
            <w:r w:rsidRPr="00C613CE">
              <w:rPr>
                <w:rFonts w:cstheme="minorHAnsi"/>
                <w:sz w:val="18"/>
                <w:szCs w:val="18"/>
              </w:rPr>
              <w:t>1</w:t>
            </w:r>
          </w:p>
        </w:tc>
        <w:tc>
          <w:tcPr>
            <w:tcW w:w="1335" w:type="dxa"/>
            <w:vMerge/>
            <w:vAlign w:val="center"/>
            <w:hideMark/>
          </w:tcPr>
          <w:p w14:paraId="5D8D4A01" w14:textId="77777777" w:rsidR="008F0968" w:rsidRPr="00F3166B" w:rsidRDefault="008F0968" w:rsidP="008F0968">
            <w:pPr>
              <w:rPr>
                <w:rFonts w:cstheme="minorHAnsi"/>
                <w:sz w:val="19"/>
                <w:szCs w:val="19"/>
                <w:lang w:val="es-CL" w:eastAsia="en-US"/>
              </w:rPr>
            </w:pPr>
          </w:p>
        </w:tc>
      </w:tr>
      <w:tr w:rsidR="00897BA4" w:rsidRPr="004F6B61" w14:paraId="296A0AEB" w14:textId="77777777" w:rsidTr="00897BA4">
        <w:trPr>
          <w:trHeight w:val="582"/>
          <w:jc w:val="center"/>
        </w:trPr>
        <w:tc>
          <w:tcPr>
            <w:tcW w:w="3539" w:type="dxa"/>
            <w:vMerge w:val="restart"/>
            <w:vAlign w:val="center"/>
          </w:tcPr>
          <w:p w14:paraId="0EC10D93" w14:textId="420125F6" w:rsidR="00897BA4" w:rsidRPr="0077246D" w:rsidRDefault="00897BA4" w:rsidP="00897BA4">
            <w:pPr>
              <w:pStyle w:val="Prrafodelista"/>
              <w:numPr>
                <w:ilvl w:val="1"/>
                <w:numId w:val="18"/>
              </w:numPr>
              <w:ind w:left="167" w:hanging="167"/>
              <w:jc w:val="both"/>
              <w:rPr>
                <w:rFonts w:cstheme="minorHAnsi"/>
                <w:b/>
                <w:sz w:val="19"/>
                <w:szCs w:val="19"/>
                <w:lang w:val="es-CL" w:eastAsia="en-US"/>
              </w:rPr>
            </w:pPr>
            <w:r>
              <w:rPr>
                <w:rFonts w:eastAsia="Arial" w:cs="Arial"/>
                <w:color w:val="000000"/>
                <w:sz w:val="20"/>
                <w:szCs w:val="20"/>
              </w:rPr>
              <w:t>S</w:t>
            </w:r>
            <w:r w:rsidRPr="00C71BD8">
              <w:rPr>
                <w:rFonts w:eastAsia="Arial" w:cs="Arial"/>
                <w:color w:val="000000"/>
                <w:sz w:val="20"/>
                <w:szCs w:val="20"/>
              </w:rPr>
              <w:t xml:space="preserve">ello “40 </w:t>
            </w:r>
            <w:r w:rsidRPr="004101D3">
              <w:rPr>
                <w:rFonts w:cstheme="minorHAnsi"/>
                <w:b/>
                <w:sz w:val="19"/>
                <w:szCs w:val="19"/>
              </w:rPr>
              <w:t>horas</w:t>
            </w:r>
            <w:r w:rsidRPr="00C71BD8">
              <w:rPr>
                <w:rFonts w:eastAsia="Arial" w:cs="Arial"/>
                <w:color w:val="000000"/>
                <w:sz w:val="20"/>
                <w:szCs w:val="20"/>
              </w:rPr>
              <w:t>” entregado por el Ministerio del Trabajo.</w:t>
            </w: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32826B" w14:textId="411A1819" w:rsidR="00897BA4" w:rsidRPr="00C613CE" w:rsidRDefault="00897BA4" w:rsidP="00897BA4">
            <w:pPr>
              <w:jc w:val="both"/>
              <w:rPr>
                <w:rFonts w:eastAsia="Arial" w:cs="Arial"/>
                <w:color w:val="000000"/>
                <w:sz w:val="18"/>
                <w:szCs w:val="18"/>
              </w:rPr>
            </w:pPr>
            <w:r w:rsidRPr="00C613CE">
              <w:rPr>
                <w:rFonts w:cstheme="minorHAnsi"/>
                <w:sz w:val="18"/>
                <w:szCs w:val="18"/>
              </w:rPr>
              <w:t>Empresa</w:t>
            </w:r>
            <w:r w:rsidRPr="00C613CE">
              <w:rPr>
                <w:rFonts w:eastAsia="Arial" w:cs="Arial"/>
                <w:color w:val="000000"/>
                <w:sz w:val="18"/>
                <w:szCs w:val="18"/>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6FC20E52" w14:textId="211B46BC" w:rsidR="00897BA4" w:rsidRPr="00C613CE" w:rsidRDefault="00897BA4" w:rsidP="00897BA4">
            <w:pPr>
              <w:jc w:val="center"/>
              <w:rPr>
                <w:rFonts w:ascii="Calibri" w:eastAsia="Arial" w:hAnsi="Calibri" w:cs="Calibri"/>
                <w:color w:val="000000"/>
                <w:sz w:val="18"/>
                <w:szCs w:val="18"/>
                <w:lang w:val="es-CL"/>
              </w:rPr>
            </w:pPr>
            <w:r w:rsidRPr="00C613CE">
              <w:rPr>
                <w:rFonts w:eastAsia="Arial" w:cs="Calibri"/>
                <w:color w:val="000000"/>
                <w:sz w:val="18"/>
                <w:szCs w:val="18"/>
                <w:lang w:val="es-CL"/>
              </w:rPr>
              <w:t>7</w:t>
            </w:r>
          </w:p>
        </w:tc>
        <w:tc>
          <w:tcPr>
            <w:tcW w:w="1335" w:type="dxa"/>
            <w:vMerge w:val="restart"/>
            <w:vAlign w:val="center"/>
          </w:tcPr>
          <w:p w14:paraId="02AC5CA0" w14:textId="2E7550FF" w:rsidR="00897BA4" w:rsidRPr="00F3166B" w:rsidRDefault="00897BA4" w:rsidP="00897BA4">
            <w:pPr>
              <w:jc w:val="center"/>
              <w:rPr>
                <w:rFonts w:cstheme="minorHAnsi"/>
                <w:sz w:val="19"/>
                <w:szCs w:val="19"/>
              </w:rPr>
            </w:pPr>
            <w:r>
              <w:rPr>
                <w:rFonts w:cstheme="minorHAnsi"/>
                <w:sz w:val="18"/>
                <w:szCs w:val="18"/>
              </w:rPr>
              <w:t>5%</w:t>
            </w:r>
          </w:p>
        </w:tc>
      </w:tr>
      <w:tr w:rsidR="00897BA4" w:rsidRPr="004F6B61" w14:paraId="6ED938D7" w14:textId="77777777" w:rsidTr="00897BA4">
        <w:trPr>
          <w:trHeight w:val="548"/>
          <w:jc w:val="center"/>
        </w:trPr>
        <w:tc>
          <w:tcPr>
            <w:tcW w:w="3539" w:type="dxa"/>
            <w:vMerge/>
            <w:vAlign w:val="center"/>
          </w:tcPr>
          <w:p w14:paraId="4E874021" w14:textId="77777777" w:rsidR="00897BA4" w:rsidRPr="0077246D" w:rsidRDefault="00897BA4" w:rsidP="00897BA4">
            <w:pPr>
              <w:jc w:val="both"/>
              <w:rPr>
                <w:rFonts w:cstheme="minorHAnsi"/>
                <w:b/>
                <w:sz w:val="19"/>
                <w:szCs w:val="19"/>
                <w:lang w:val="es-CL" w:eastAsia="en-US"/>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B42441" w14:textId="65B1110A" w:rsidR="00897BA4" w:rsidRPr="00C613CE" w:rsidRDefault="00897BA4" w:rsidP="00897BA4">
            <w:pPr>
              <w:jc w:val="both"/>
              <w:rPr>
                <w:rFonts w:eastAsia="Arial" w:cs="Arial"/>
                <w:color w:val="000000"/>
                <w:sz w:val="18"/>
                <w:szCs w:val="18"/>
              </w:rPr>
            </w:pPr>
            <w:r w:rsidRPr="00C613CE">
              <w:rPr>
                <w:rFonts w:cstheme="minorHAnsi"/>
                <w:sz w:val="18"/>
                <w:szCs w:val="18"/>
              </w:rPr>
              <w:t>Empresa</w:t>
            </w:r>
            <w:r w:rsidRPr="00C613CE">
              <w:rPr>
                <w:rFonts w:eastAsia="Arial" w:cs="Arial"/>
                <w:color w:val="000000"/>
                <w:sz w:val="18"/>
                <w:szCs w:val="18"/>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5ADFAB87" w14:textId="54E794A2" w:rsidR="00897BA4" w:rsidRPr="00C613CE" w:rsidRDefault="00897BA4" w:rsidP="00897BA4">
            <w:pPr>
              <w:jc w:val="center"/>
              <w:rPr>
                <w:rFonts w:ascii="Calibri" w:eastAsia="Arial" w:hAnsi="Calibri" w:cs="Calibri"/>
                <w:color w:val="000000"/>
                <w:sz w:val="18"/>
                <w:szCs w:val="18"/>
                <w:lang w:val="es-CL"/>
              </w:rPr>
            </w:pPr>
            <w:r w:rsidRPr="00C613CE">
              <w:rPr>
                <w:rFonts w:eastAsia="Arial" w:cs="Calibri"/>
                <w:color w:val="000000"/>
                <w:sz w:val="18"/>
                <w:szCs w:val="18"/>
                <w:lang w:val="es-CL"/>
              </w:rPr>
              <w:t>1</w:t>
            </w:r>
          </w:p>
        </w:tc>
        <w:tc>
          <w:tcPr>
            <w:tcW w:w="1335" w:type="dxa"/>
            <w:vMerge/>
            <w:vAlign w:val="center"/>
          </w:tcPr>
          <w:p w14:paraId="51C432AF" w14:textId="77777777" w:rsidR="00897BA4" w:rsidRPr="00F3166B" w:rsidRDefault="00897BA4" w:rsidP="00897BA4">
            <w:pPr>
              <w:jc w:val="center"/>
              <w:rPr>
                <w:rFonts w:cstheme="minorHAnsi"/>
                <w:sz w:val="19"/>
                <w:szCs w:val="19"/>
              </w:rPr>
            </w:pPr>
          </w:p>
        </w:tc>
      </w:tr>
      <w:tr w:rsidR="00897BA4" w:rsidRPr="004F6B61" w14:paraId="0EC35C67" w14:textId="77777777" w:rsidTr="00380232">
        <w:trPr>
          <w:trHeight w:val="567"/>
          <w:jc w:val="center"/>
        </w:trPr>
        <w:tc>
          <w:tcPr>
            <w:tcW w:w="3539" w:type="dxa"/>
            <w:vMerge w:val="restart"/>
            <w:vAlign w:val="center"/>
          </w:tcPr>
          <w:p w14:paraId="3CA74807" w14:textId="245C8E3E" w:rsidR="00897BA4" w:rsidRPr="0077246D" w:rsidRDefault="00897BA4" w:rsidP="00897BA4">
            <w:pPr>
              <w:pStyle w:val="Prrafodelista"/>
              <w:numPr>
                <w:ilvl w:val="1"/>
                <w:numId w:val="18"/>
              </w:numPr>
              <w:ind w:left="167" w:hanging="167"/>
              <w:jc w:val="both"/>
              <w:rPr>
                <w:rFonts w:cstheme="minorHAnsi"/>
                <w:b/>
                <w:sz w:val="19"/>
                <w:szCs w:val="19"/>
              </w:rPr>
            </w:pPr>
            <w:r w:rsidRPr="00F3166B">
              <w:rPr>
                <w:rFonts w:cstheme="minorHAnsi"/>
                <w:b/>
                <w:bCs/>
                <w:sz w:val="19"/>
                <w:szCs w:val="19"/>
                <w:lang w:eastAsia="en-US"/>
              </w:rPr>
              <w:t>Potencial de</w:t>
            </w:r>
            <w:r w:rsidRPr="00F3166B">
              <w:rPr>
                <w:rFonts w:ascii="Calibri" w:hAnsi="Calibri" w:cs="Calibri"/>
                <w:b/>
                <w:bCs/>
                <w:sz w:val="19"/>
                <w:szCs w:val="19"/>
                <w:lang w:eastAsia="en-US"/>
              </w:rPr>
              <w:t> </w:t>
            </w:r>
            <w:r w:rsidRPr="00F3166B">
              <w:rPr>
                <w:rFonts w:cstheme="minorHAnsi"/>
                <w:b/>
                <w:bCs/>
                <w:sz w:val="19"/>
                <w:szCs w:val="19"/>
                <w:lang w:eastAsia="en-US"/>
              </w:rPr>
              <w:t xml:space="preserve"> impacto en la implementaci</w:t>
            </w:r>
            <w:r w:rsidRPr="00F3166B">
              <w:rPr>
                <w:rFonts w:cs="gobCL"/>
                <w:b/>
                <w:bCs/>
                <w:sz w:val="19"/>
                <w:szCs w:val="19"/>
                <w:lang w:eastAsia="en-US"/>
              </w:rPr>
              <w:t>ó</w:t>
            </w:r>
            <w:r w:rsidRPr="00F3166B">
              <w:rPr>
                <w:rFonts w:cstheme="minorHAnsi"/>
                <w:b/>
                <w:bCs/>
                <w:sz w:val="19"/>
                <w:szCs w:val="19"/>
                <w:lang w:eastAsia="en-US"/>
              </w:rPr>
              <w:t xml:space="preserve">n del proyecto postulado (tomando en </w:t>
            </w:r>
            <w:r w:rsidRPr="00897BA4">
              <w:rPr>
                <w:rFonts w:cstheme="minorHAnsi"/>
                <w:b/>
                <w:sz w:val="19"/>
                <w:szCs w:val="19"/>
              </w:rPr>
              <w:t>cuenta</w:t>
            </w:r>
            <w:r w:rsidRPr="00F3166B">
              <w:rPr>
                <w:rFonts w:cstheme="minorHAnsi"/>
                <w:b/>
                <w:bCs/>
                <w:sz w:val="19"/>
                <w:szCs w:val="19"/>
                <w:lang w:eastAsia="en-US"/>
              </w:rPr>
              <w:t xml:space="preserve"> variables como: ventas y/o empleo y/o incorporaci</w:t>
            </w:r>
            <w:r w:rsidRPr="00F3166B">
              <w:rPr>
                <w:rFonts w:cs="gobCL"/>
                <w:b/>
                <w:bCs/>
                <w:sz w:val="19"/>
                <w:szCs w:val="19"/>
                <w:lang w:eastAsia="en-US"/>
              </w:rPr>
              <w:t>ó</w:t>
            </w:r>
            <w:r w:rsidRPr="00F3166B">
              <w:rPr>
                <w:rFonts w:cstheme="minorHAnsi"/>
                <w:b/>
                <w:bCs/>
                <w:sz w:val="19"/>
                <w:szCs w:val="19"/>
                <w:lang w:eastAsia="en-US"/>
              </w:rPr>
              <w:t>n de nuevas tecnolog</w:t>
            </w:r>
            <w:r w:rsidRPr="00F3166B">
              <w:rPr>
                <w:rFonts w:cs="gobCL"/>
                <w:b/>
                <w:bCs/>
                <w:sz w:val="19"/>
                <w:szCs w:val="19"/>
                <w:lang w:eastAsia="en-US"/>
              </w:rPr>
              <w:t>í</w:t>
            </w:r>
            <w:r w:rsidRPr="00F3166B">
              <w:rPr>
                <w:rFonts w:cstheme="minorHAnsi"/>
                <w:b/>
                <w:bCs/>
                <w:sz w:val="19"/>
                <w:szCs w:val="19"/>
                <w:lang w:eastAsia="en-US"/>
              </w:rPr>
              <w:t>as)</w:t>
            </w: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270FE502" w:rsidR="00897BA4" w:rsidRPr="00C613CE" w:rsidRDefault="00897BA4" w:rsidP="00897BA4">
            <w:pPr>
              <w:jc w:val="both"/>
              <w:rPr>
                <w:rFonts w:eastAsia="Arial" w:cs="Arial"/>
                <w:color w:val="000000"/>
                <w:sz w:val="18"/>
                <w:szCs w:val="18"/>
              </w:rPr>
            </w:pPr>
            <w:r w:rsidRPr="00C613CE">
              <w:rPr>
                <w:rFonts w:eastAsia="Arial" w:cs="Arial"/>
                <w:color w:val="000000"/>
                <w:sz w:val="18"/>
                <w:szCs w:val="18"/>
              </w:rPr>
              <w:t>Con la información disponible de la empresa postulante, se puede observar un alto potencial de impacto en el cumplimiento de indicadores asociados</w:t>
            </w:r>
            <w:r w:rsidRPr="00C613CE">
              <w:rPr>
                <w:rFonts w:ascii="Calibri" w:eastAsia="Arial" w:hAnsi="Calibri" w:cs="Calibri"/>
                <w:color w:val="000000"/>
                <w:sz w:val="18"/>
                <w:szCs w:val="18"/>
              </w:rPr>
              <w:t> </w:t>
            </w:r>
            <w:r w:rsidRPr="00C613CE">
              <w:rPr>
                <w:rFonts w:eastAsia="Arial" w:cs="Arial"/>
                <w:color w:val="000000"/>
                <w:sz w:val="18"/>
                <w:szCs w:val="18"/>
              </w:rPr>
              <w:t>a la implementación del plan de trabajo.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0129416F" w:rsidR="00897BA4" w:rsidRPr="00C613CE" w:rsidRDefault="00897BA4" w:rsidP="00897BA4">
            <w:pPr>
              <w:jc w:val="center"/>
              <w:rPr>
                <w:rFonts w:cstheme="minorHAnsi"/>
                <w:sz w:val="18"/>
                <w:szCs w:val="18"/>
                <w:lang w:val="es-CL" w:eastAsia="en-US"/>
              </w:rPr>
            </w:pPr>
            <w:r w:rsidRPr="00C613CE">
              <w:rPr>
                <w:rFonts w:ascii="Calibri" w:eastAsia="Arial" w:hAnsi="Calibri" w:cs="Calibri"/>
                <w:color w:val="000000"/>
                <w:sz w:val="18"/>
                <w:szCs w:val="18"/>
                <w:lang w:val="es-CL"/>
              </w:rPr>
              <w:t> </w:t>
            </w:r>
            <w:r w:rsidRPr="00C613CE">
              <w:rPr>
                <w:rFonts w:eastAsia="Arial" w:cs="Arial"/>
                <w:color w:val="000000"/>
                <w:sz w:val="18"/>
                <w:szCs w:val="18"/>
                <w:lang w:val="es-CL"/>
              </w:rPr>
              <w:t>7</w:t>
            </w:r>
          </w:p>
        </w:tc>
        <w:tc>
          <w:tcPr>
            <w:tcW w:w="1335" w:type="dxa"/>
            <w:vMerge w:val="restart"/>
            <w:vAlign w:val="center"/>
          </w:tcPr>
          <w:p w14:paraId="401C0A49" w14:textId="7B42C4DB" w:rsidR="00897BA4" w:rsidRPr="00F3166B" w:rsidRDefault="00897BA4" w:rsidP="00897BA4">
            <w:pPr>
              <w:jc w:val="center"/>
              <w:rPr>
                <w:rFonts w:cstheme="minorHAnsi"/>
                <w:sz w:val="19"/>
                <w:szCs w:val="19"/>
              </w:rPr>
            </w:pPr>
            <w:r w:rsidRPr="00F3166B">
              <w:rPr>
                <w:rFonts w:cstheme="minorHAnsi"/>
                <w:sz w:val="19"/>
                <w:szCs w:val="19"/>
              </w:rPr>
              <w:t>30%</w:t>
            </w:r>
          </w:p>
        </w:tc>
      </w:tr>
      <w:tr w:rsidR="00897BA4" w:rsidRPr="004F6B61" w14:paraId="28220F98" w14:textId="77777777" w:rsidTr="00380232">
        <w:trPr>
          <w:trHeight w:val="567"/>
          <w:jc w:val="center"/>
        </w:trPr>
        <w:tc>
          <w:tcPr>
            <w:tcW w:w="3539" w:type="dxa"/>
            <w:vMerge/>
            <w:vAlign w:val="center"/>
          </w:tcPr>
          <w:p w14:paraId="71158504" w14:textId="77777777" w:rsidR="00897BA4" w:rsidRPr="0077246D" w:rsidRDefault="00897BA4" w:rsidP="00897BA4">
            <w:pPr>
              <w:rPr>
                <w:rFonts w:cstheme="minorHAnsi"/>
                <w:b/>
                <w:sz w:val="19"/>
                <w:szCs w:val="19"/>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9CE8C8" w14:textId="52765A04" w:rsidR="00897BA4" w:rsidRPr="00C926EE" w:rsidRDefault="00897BA4" w:rsidP="00897BA4">
            <w:pPr>
              <w:jc w:val="both"/>
              <w:rPr>
                <w:rFonts w:eastAsia="Arial" w:cs="Arial"/>
                <w:color w:val="000000"/>
                <w:sz w:val="19"/>
                <w:szCs w:val="19"/>
              </w:rPr>
            </w:pPr>
            <w:r w:rsidRPr="00F3166B">
              <w:rPr>
                <w:rFonts w:eastAsia="Arial" w:cs="Arial"/>
                <w:color w:val="000000"/>
                <w:sz w:val="19"/>
                <w:szCs w:val="19"/>
              </w:rPr>
              <w:t>Con la información disponible de la empresa postulante, se puede observar un potencial medio de impacto en el cumplimiento de indicadores asociados a la implementación del plan de trabajo.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9B2416" w14:textId="4608AD4E" w:rsidR="00897BA4" w:rsidRPr="00E10E3F" w:rsidRDefault="00897BA4" w:rsidP="00897BA4">
            <w:pPr>
              <w:jc w:val="center"/>
              <w:rPr>
                <w:rFonts w:eastAsia="Arial" w:cs="Calibri"/>
                <w:color w:val="000000"/>
                <w:sz w:val="18"/>
                <w:szCs w:val="22"/>
                <w:lang w:val="es-CL"/>
              </w:rPr>
            </w:pPr>
            <w:r w:rsidRPr="00E10E3F">
              <w:rPr>
                <w:rFonts w:eastAsia="Arial" w:cs="Calibri"/>
                <w:color w:val="000000"/>
                <w:sz w:val="18"/>
                <w:szCs w:val="22"/>
                <w:lang w:val="es-CL"/>
              </w:rPr>
              <w:t>5</w:t>
            </w:r>
          </w:p>
        </w:tc>
        <w:tc>
          <w:tcPr>
            <w:tcW w:w="1335" w:type="dxa"/>
            <w:vMerge/>
            <w:vAlign w:val="center"/>
          </w:tcPr>
          <w:p w14:paraId="69C43B41" w14:textId="77777777" w:rsidR="00897BA4" w:rsidRDefault="00897BA4" w:rsidP="00897BA4">
            <w:pPr>
              <w:jc w:val="center"/>
              <w:rPr>
                <w:rFonts w:cstheme="minorHAnsi"/>
                <w:sz w:val="19"/>
                <w:szCs w:val="19"/>
              </w:rPr>
            </w:pPr>
          </w:p>
        </w:tc>
      </w:tr>
      <w:tr w:rsidR="00897BA4" w:rsidRPr="004F6B61" w14:paraId="514D2B1B" w14:textId="77777777" w:rsidTr="00380232">
        <w:trPr>
          <w:trHeight w:val="567"/>
          <w:jc w:val="center"/>
        </w:trPr>
        <w:tc>
          <w:tcPr>
            <w:tcW w:w="3539" w:type="dxa"/>
            <w:vMerge/>
            <w:vAlign w:val="center"/>
          </w:tcPr>
          <w:p w14:paraId="77BC92A3" w14:textId="77777777" w:rsidR="00897BA4" w:rsidRPr="0077246D" w:rsidRDefault="00897BA4" w:rsidP="00897BA4">
            <w:pPr>
              <w:rPr>
                <w:rFonts w:cstheme="minorHAnsi"/>
                <w:b/>
                <w:sz w:val="19"/>
                <w:szCs w:val="19"/>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0890884B" w:rsidR="00897BA4" w:rsidRPr="00C926EE" w:rsidRDefault="00897BA4" w:rsidP="00897BA4">
            <w:pPr>
              <w:jc w:val="both"/>
              <w:rPr>
                <w:rFonts w:cstheme="minorHAnsi"/>
                <w:sz w:val="19"/>
                <w:szCs w:val="19"/>
              </w:rPr>
            </w:pPr>
            <w:r w:rsidRPr="00F3166B">
              <w:rPr>
                <w:rFonts w:eastAsia="Arial" w:cs="Arial"/>
                <w:color w:val="000000"/>
                <w:sz w:val="19"/>
                <w:szCs w:val="19"/>
              </w:rPr>
              <w:t>Con la información disponible de la empresa postulante, se puede observar un potencial bajo de impacto en el cumplimiento de indicadores asociados</w:t>
            </w:r>
            <w:r w:rsidRPr="00F3166B">
              <w:rPr>
                <w:rFonts w:ascii="Calibri" w:eastAsia="Arial" w:hAnsi="Calibri" w:cs="Calibri"/>
                <w:color w:val="000000"/>
                <w:sz w:val="19"/>
                <w:szCs w:val="19"/>
              </w:rPr>
              <w:t> </w:t>
            </w:r>
            <w:r w:rsidRPr="00F3166B">
              <w:rPr>
                <w:rFonts w:eastAsia="Arial" w:cs="Arial"/>
                <w:color w:val="000000"/>
                <w:sz w:val="19"/>
                <w:szCs w:val="19"/>
              </w:rPr>
              <w:t xml:space="preserve"> la implementaci</w:t>
            </w:r>
            <w:r w:rsidRPr="00F3166B">
              <w:rPr>
                <w:rFonts w:eastAsia="Arial" w:cs="gobCL"/>
                <w:color w:val="000000"/>
                <w:sz w:val="19"/>
                <w:szCs w:val="19"/>
              </w:rPr>
              <w:t>ó</w:t>
            </w:r>
            <w:r w:rsidRPr="00F3166B">
              <w:rPr>
                <w:rFonts w:eastAsia="Arial" w:cs="Arial"/>
                <w:color w:val="000000"/>
                <w:sz w:val="19"/>
                <w:szCs w:val="19"/>
              </w:rPr>
              <w:t>n del plan de trabajo.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3EF5270B" w:rsidR="00897BA4" w:rsidRPr="007B1F1E" w:rsidRDefault="00897BA4" w:rsidP="00897BA4">
            <w:pPr>
              <w:jc w:val="center"/>
              <w:rPr>
                <w:rFonts w:cstheme="minorHAnsi"/>
                <w:sz w:val="18"/>
                <w:szCs w:val="19"/>
                <w:lang w:val="es-CL" w:eastAsia="en-US"/>
              </w:rPr>
            </w:pPr>
            <w:r w:rsidRPr="007B1F1E">
              <w:rPr>
                <w:rFonts w:ascii="Calibri" w:eastAsia="Arial" w:hAnsi="Calibri" w:cs="Calibri"/>
                <w:color w:val="000000"/>
                <w:sz w:val="18"/>
                <w:szCs w:val="22"/>
                <w:lang w:val="es-CL"/>
              </w:rPr>
              <w:t> </w:t>
            </w:r>
            <w:r>
              <w:rPr>
                <w:rFonts w:eastAsia="Arial" w:cs="Arial"/>
                <w:color w:val="000000"/>
                <w:sz w:val="18"/>
                <w:szCs w:val="22"/>
                <w:lang w:val="es-CL"/>
              </w:rPr>
              <w:t>1</w:t>
            </w:r>
          </w:p>
        </w:tc>
        <w:tc>
          <w:tcPr>
            <w:tcW w:w="1335" w:type="dxa"/>
            <w:vMerge/>
            <w:vAlign w:val="center"/>
          </w:tcPr>
          <w:p w14:paraId="24259837" w14:textId="77777777" w:rsidR="00897BA4" w:rsidRDefault="00897BA4" w:rsidP="00897BA4">
            <w:pPr>
              <w:jc w:val="center"/>
              <w:rPr>
                <w:rFonts w:cstheme="minorHAnsi"/>
                <w:sz w:val="19"/>
                <w:szCs w:val="19"/>
              </w:rPr>
            </w:pPr>
          </w:p>
        </w:tc>
      </w:tr>
      <w:tr w:rsidR="00897BA4" w:rsidRPr="004F6B61" w14:paraId="558C355E" w14:textId="77777777" w:rsidTr="00380232">
        <w:trPr>
          <w:trHeight w:val="567"/>
          <w:jc w:val="center"/>
        </w:trPr>
        <w:tc>
          <w:tcPr>
            <w:tcW w:w="3539" w:type="dxa"/>
            <w:vMerge w:val="restart"/>
            <w:vAlign w:val="center"/>
            <w:hideMark/>
          </w:tcPr>
          <w:p w14:paraId="5E63C2A3" w14:textId="1B8B10FA" w:rsidR="00897BA4" w:rsidRPr="00046A17" w:rsidRDefault="00897BA4" w:rsidP="00897BA4">
            <w:pPr>
              <w:pStyle w:val="Prrafodelista"/>
              <w:numPr>
                <w:ilvl w:val="1"/>
                <w:numId w:val="18"/>
              </w:numPr>
              <w:ind w:left="167" w:hanging="167"/>
              <w:jc w:val="both"/>
              <w:rPr>
                <w:rFonts w:cstheme="minorHAnsi"/>
                <w:sz w:val="19"/>
                <w:szCs w:val="19"/>
                <w:lang w:val="es-CL" w:eastAsia="en-US"/>
              </w:rPr>
            </w:pPr>
            <w:r w:rsidRPr="00380232">
              <w:rPr>
                <w:rFonts w:cstheme="minorHAnsi"/>
                <w:b/>
                <w:sz w:val="19"/>
                <w:szCs w:val="19"/>
                <w:lang w:eastAsia="en-US"/>
              </w:rPr>
              <w:lastRenderedPageBreak/>
              <w:t xml:space="preserve">Micro y pequeñas </w:t>
            </w:r>
            <w:r w:rsidRPr="00897BA4">
              <w:rPr>
                <w:rFonts w:cstheme="minorHAnsi"/>
                <w:b/>
                <w:bCs/>
                <w:sz w:val="19"/>
                <w:szCs w:val="19"/>
                <w:lang w:eastAsia="en-US"/>
              </w:rPr>
              <w:t>empresas</w:t>
            </w:r>
            <w:r w:rsidRPr="00380232">
              <w:rPr>
                <w:rFonts w:cstheme="minorHAnsi"/>
                <w:b/>
                <w:sz w:val="19"/>
                <w:szCs w:val="19"/>
                <w:lang w:eastAsia="en-US"/>
              </w:rPr>
              <w:t xml:space="preserve"> lideradas por mujeres</w:t>
            </w: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7A3E3F49" w:rsidR="00897BA4" w:rsidRPr="00C926EE" w:rsidRDefault="00897BA4" w:rsidP="00897BA4">
            <w:pPr>
              <w:jc w:val="both"/>
              <w:rPr>
                <w:rFonts w:cs="Arial"/>
                <w:sz w:val="19"/>
                <w:szCs w:val="19"/>
              </w:rPr>
            </w:pPr>
            <w:r w:rsidRPr="00C926EE">
              <w:rPr>
                <w:rFonts w:eastAsiaTheme="minorEastAsia" w:cs="Arial"/>
                <w:color w:val="000000"/>
                <w:kern w:val="24"/>
                <w:sz w:val="19"/>
                <w:szCs w:val="19"/>
              </w:rPr>
              <w:t xml:space="preserve">Micro y pequeña empresa, </w:t>
            </w:r>
            <w:r w:rsidRPr="00C926EE">
              <w:rPr>
                <w:rFonts w:eastAsiaTheme="minorEastAsia" w:cs="Arial"/>
                <w:b/>
                <w:bCs/>
                <w:color w:val="000000"/>
                <w:kern w:val="24"/>
                <w:sz w:val="19"/>
                <w:szCs w:val="19"/>
                <w:u w:val="single"/>
              </w:rPr>
              <w:t>corresponde</w:t>
            </w:r>
            <w:r w:rsidRPr="00C926EE">
              <w:rPr>
                <w:rFonts w:eastAsiaTheme="minorEastAsia" w:cs="Arial"/>
                <w:color w:val="000000"/>
                <w:kern w:val="24"/>
                <w:sz w:val="19"/>
                <w:szCs w:val="19"/>
              </w:rPr>
              <w:t xml:space="preserve"> a persona natural de sexo registral femenino o persona jurídica, la cual debe estar Constituida con al menos el 50% de su capital por socias mujeres y al menos una</w:t>
            </w:r>
            <w:r>
              <w:rPr>
                <w:rFonts w:eastAsiaTheme="minorEastAsia" w:cs="Arial"/>
                <w:color w:val="000000"/>
                <w:kern w:val="24"/>
                <w:sz w:val="19"/>
                <w:szCs w:val="19"/>
              </w:rPr>
              <w:t xml:space="preserve"> </w:t>
            </w:r>
            <w:r w:rsidRPr="00C926EE">
              <w:rPr>
                <w:rFonts w:eastAsiaTheme="minorEastAsia" w:cs="Arial"/>
                <w:color w:val="000000"/>
                <w:kern w:val="24"/>
                <w:sz w:val="19"/>
                <w:szCs w:val="19"/>
              </w:rPr>
              <w:t>de sus representantes debe ser de sexo registral</w:t>
            </w:r>
            <w:r>
              <w:rPr>
                <w:rFonts w:eastAsiaTheme="minorEastAsia" w:cs="Arial"/>
                <w:color w:val="000000"/>
                <w:kern w:val="24"/>
                <w:sz w:val="19"/>
                <w:szCs w:val="19"/>
              </w:rPr>
              <w:t xml:space="preserve"> </w:t>
            </w:r>
            <w:r w:rsidRPr="00C926EE">
              <w:rPr>
                <w:rFonts w:eastAsiaTheme="minorEastAsia" w:cs="Arial"/>
                <w:color w:val="000000"/>
                <w:kern w:val="24"/>
                <w:sz w:val="19"/>
                <w:szCs w:val="19"/>
              </w:rPr>
              <w:t>femenino.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40E8C3FF" w:rsidR="00897BA4" w:rsidRPr="00380232" w:rsidRDefault="00897BA4" w:rsidP="00897BA4">
            <w:pPr>
              <w:jc w:val="center"/>
              <w:rPr>
                <w:rFonts w:cstheme="minorHAnsi"/>
                <w:sz w:val="18"/>
                <w:szCs w:val="18"/>
                <w:lang w:val="es-CL" w:eastAsia="en-US"/>
              </w:rPr>
            </w:pPr>
            <w:r w:rsidRPr="00380232">
              <w:rPr>
                <w:rFonts w:ascii="Calibri" w:eastAsiaTheme="minorEastAsia" w:hAnsi="Calibri" w:cs="Calibri"/>
                <w:color w:val="000000"/>
                <w:kern w:val="24"/>
                <w:sz w:val="18"/>
                <w:szCs w:val="18"/>
                <w:lang w:val="es-CL"/>
              </w:rPr>
              <w:t> </w:t>
            </w:r>
            <w:r w:rsidRPr="00380232">
              <w:rPr>
                <w:rFonts w:eastAsiaTheme="minorEastAsia" w:cs="Arial"/>
                <w:color w:val="000000"/>
                <w:kern w:val="24"/>
                <w:sz w:val="18"/>
                <w:szCs w:val="18"/>
                <w:lang w:val="es-CL"/>
              </w:rPr>
              <w:t>7</w:t>
            </w:r>
          </w:p>
        </w:tc>
        <w:tc>
          <w:tcPr>
            <w:tcW w:w="1335" w:type="dxa"/>
            <w:vMerge w:val="restart"/>
            <w:vAlign w:val="center"/>
            <w:hideMark/>
          </w:tcPr>
          <w:p w14:paraId="0B0EE5A2" w14:textId="6C4EA670" w:rsidR="00897BA4" w:rsidRPr="0077246D" w:rsidRDefault="00897BA4" w:rsidP="00897BA4">
            <w:pPr>
              <w:jc w:val="center"/>
              <w:rPr>
                <w:rFonts w:cstheme="minorHAnsi"/>
                <w:sz w:val="19"/>
                <w:szCs w:val="19"/>
              </w:rPr>
            </w:pPr>
            <w:r>
              <w:rPr>
                <w:rFonts w:cstheme="minorHAnsi"/>
                <w:sz w:val="19"/>
                <w:szCs w:val="19"/>
              </w:rPr>
              <w:t>15</w:t>
            </w:r>
            <w:r w:rsidRPr="0077246D">
              <w:rPr>
                <w:rFonts w:cstheme="minorHAnsi"/>
                <w:sz w:val="19"/>
                <w:szCs w:val="19"/>
              </w:rPr>
              <w:t>%</w:t>
            </w:r>
          </w:p>
        </w:tc>
      </w:tr>
      <w:tr w:rsidR="00897BA4" w:rsidRPr="004F6B61" w14:paraId="01BA91AC" w14:textId="77777777" w:rsidTr="00380232">
        <w:trPr>
          <w:trHeight w:val="567"/>
          <w:jc w:val="center"/>
        </w:trPr>
        <w:tc>
          <w:tcPr>
            <w:tcW w:w="3539" w:type="dxa"/>
            <w:vMerge/>
            <w:vAlign w:val="center"/>
            <w:hideMark/>
          </w:tcPr>
          <w:p w14:paraId="294CFA8F" w14:textId="77777777" w:rsidR="00897BA4" w:rsidRPr="0077246D" w:rsidRDefault="00897BA4" w:rsidP="00897BA4">
            <w:pPr>
              <w:rPr>
                <w:rFonts w:cstheme="minorHAnsi"/>
                <w:sz w:val="19"/>
                <w:szCs w:val="19"/>
                <w:lang w:val="es-CL" w:eastAsia="en-US"/>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7B3B8877" w:rsidR="00897BA4" w:rsidRPr="00C926EE" w:rsidRDefault="00897BA4" w:rsidP="00897BA4">
            <w:pPr>
              <w:pStyle w:val="NormalWeb"/>
              <w:spacing w:before="0" w:beforeAutospacing="0" w:after="0" w:afterAutospacing="0"/>
              <w:jc w:val="both"/>
              <w:textAlignment w:val="center"/>
              <w:rPr>
                <w:rFonts w:cs="Arial"/>
                <w:sz w:val="19"/>
                <w:szCs w:val="19"/>
              </w:rPr>
            </w:pPr>
            <w:r w:rsidRPr="00C926EE">
              <w:rPr>
                <w:rFonts w:eastAsiaTheme="minorEastAsia" w:cs="Arial"/>
                <w:color w:val="000000"/>
                <w:kern w:val="24"/>
                <w:sz w:val="19"/>
                <w:szCs w:val="19"/>
              </w:rPr>
              <w:t xml:space="preserve">Micro y pequeña empresa, </w:t>
            </w:r>
            <w:r w:rsidRPr="00C926EE">
              <w:rPr>
                <w:rFonts w:eastAsiaTheme="minorEastAsia" w:cs="Arial"/>
                <w:b/>
                <w:bCs/>
                <w:color w:val="000000"/>
                <w:kern w:val="24"/>
                <w:sz w:val="19"/>
                <w:szCs w:val="19"/>
                <w:u w:val="single"/>
              </w:rPr>
              <w:t xml:space="preserve">no corresponde </w:t>
            </w:r>
            <w:r w:rsidRPr="00C926EE">
              <w:rPr>
                <w:rFonts w:eastAsiaTheme="minorEastAsia" w:cs="Arial"/>
                <w:color w:val="000000"/>
                <w:kern w:val="24"/>
                <w:sz w:val="19"/>
                <w:szCs w:val="19"/>
              </w:rPr>
              <w:t>a persona natural de sexo registral femenino o persona jurídica, constituida con al menos el 50% de su capital por socias mujeres y al menos una de sus representantes</w:t>
            </w:r>
            <w:r>
              <w:rPr>
                <w:rFonts w:eastAsiaTheme="minorEastAsia" w:cs="Arial"/>
                <w:color w:val="000000"/>
                <w:kern w:val="24"/>
                <w:sz w:val="19"/>
                <w:szCs w:val="19"/>
              </w:rPr>
              <w:t xml:space="preserve"> </w:t>
            </w:r>
            <w:r w:rsidRPr="00C926EE">
              <w:rPr>
                <w:rFonts w:eastAsiaTheme="minorEastAsia" w:cs="Arial"/>
                <w:color w:val="000000"/>
                <w:kern w:val="24"/>
                <w:sz w:val="19"/>
                <w:szCs w:val="19"/>
              </w:rPr>
              <w:t>de sexo registral femenino</w:t>
            </w:r>
            <w:r w:rsidRPr="00380232">
              <w:rPr>
                <w:rFonts w:eastAsiaTheme="minorEastAsia" w:cs="Arial"/>
                <w:color w:val="000000"/>
                <w:kern w:val="24"/>
                <w:sz w:val="18"/>
                <w:szCs w:val="18"/>
              </w:rPr>
              <w:t>.</w:t>
            </w:r>
            <w:r w:rsidRPr="00380232">
              <w:rPr>
                <w:rFonts w:ascii="Calibri" w:eastAsiaTheme="minorEastAsia" w:hAnsi="Calibri" w:cs="Calibri"/>
                <w:color w:val="000000"/>
                <w:kern w:val="24"/>
                <w:sz w:val="18"/>
                <w:szCs w:val="18"/>
                <w:lang w:val="es-CL"/>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680F846F" w:rsidR="00897BA4" w:rsidRPr="00380232" w:rsidRDefault="00897BA4" w:rsidP="00897BA4">
            <w:pPr>
              <w:jc w:val="center"/>
              <w:rPr>
                <w:rFonts w:cstheme="minorHAnsi"/>
                <w:sz w:val="18"/>
                <w:szCs w:val="18"/>
                <w:lang w:val="es-CL" w:eastAsia="en-US"/>
              </w:rPr>
            </w:pPr>
            <w:r w:rsidRPr="00380232">
              <w:rPr>
                <w:rFonts w:ascii="Calibri" w:eastAsiaTheme="minorEastAsia" w:hAnsi="Calibri" w:cs="Calibri"/>
                <w:color w:val="000000"/>
                <w:kern w:val="24"/>
                <w:sz w:val="18"/>
                <w:szCs w:val="18"/>
                <w:lang w:val="es-CL"/>
              </w:rPr>
              <w:t> </w:t>
            </w:r>
            <w:r w:rsidRPr="00380232">
              <w:rPr>
                <w:rFonts w:eastAsiaTheme="minorEastAsia" w:cs="Arial"/>
                <w:color w:val="000000"/>
                <w:kern w:val="24"/>
                <w:sz w:val="18"/>
                <w:szCs w:val="18"/>
                <w:lang w:val="es-CL"/>
              </w:rPr>
              <w:t>1</w:t>
            </w:r>
          </w:p>
        </w:tc>
        <w:tc>
          <w:tcPr>
            <w:tcW w:w="1335" w:type="dxa"/>
            <w:vMerge/>
            <w:vAlign w:val="center"/>
            <w:hideMark/>
          </w:tcPr>
          <w:p w14:paraId="756368DB" w14:textId="77777777" w:rsidR="00897BA4" w:rsidRPr="00B203A1" w:rsidRDefault="00897BA4" w:rsidP="00897BA4">
            <w:pPr>
              <w:rPr>
                <w:rFonts w:cstheme="minorHAnsi"/>
                <w:b/>
                <w:sz w:val="19"/>
                <w:szCs w:val="19"/>
                <w:lang w:val="es-CL" w:eastAsia="en-US"/>
              </w:rPr>
            </w:pPr>
          </w:p>
        </w:tc>
      </w:tr>
      <w:tr w:rsidR="00897BA4" w:rsidRPr="004F6B61" w14:paraId="2DC86634" w14:textId="77777777" w:rsidTr="00380232">
        <w:trPr>
          <w:trHeight w:val="567"/>
          <w:jc w:val="center"/>
        </w:trPr>
        <w:tc>
          <w:tcPr>
            <w:tcW w:w="3539" w:type="dxa"/>
            <w:vMerge w:val="restart"/>
            <w:vAlign w:val="center"/>
            <w:hideMark/>
          </w:tcPr>
          <w:p w14:paraId="45D77E10" w14:textId="750ABEC4" w:rsidR="00897BA4" w:rsidRPr="00380232" w:rsidRDefault="00897BA4" w:rsidP="00897BA4">
            <w:pPr>
              <w:pStyle w:val="Prrafodelista"/>
              <w:numPr>
                <w:ilvl w:val="1"/>
                <w:numId w:val="18"/>
              </w:numPr>
              <w:ind w:left="167" w:hanging="167"/>
              <w:jc w:val="both"/>
              <w:rPr>
                <w:rFonts w:cstheme="minorHAnsi"/>
                <w:b/>
                <w:sz w:val="19"/>
                <w:szCs w:val="19"/>
              </w:rPr>
            </w:pPr>
            <w:r w:rsidRPr="00380232">
              <w:rPr>
                <w:rFonts w:cstheme="minorHAnsi"/>
                <w:b/>
                <w:sz w:val="19"/>
                <w:szCs w:val="19"/>
              </w:rPr>
              <w:t>Proyectos desarrollados en las comunas que forman parte de la Zona Rezagada de la Región de Valparaíso categorizada por el Gobierno Regional de Valparaíso.</w:t>
            </w:r>
            <w:r w:rsidRPr="00380232">
              <w:rPr>
                <w:rFonts w:cstheme="minorHAnsi"/>
                <w:b/>
                <w:sz w:val="19"/>
                <w:szCs w:val="19"/>
              </w:rPr>
              <w:br/>
              <w:t xml:space="preserve">Comunas: La Ligua, Petorca, Cabildo, Nogales, Catemu o Llay-Llay. Territorios insulares: comunas de Isla de Pascua o Juan Fernández. </w:t>
            </w:r>
          </w:p>
          <w:p w14:paraId="770BF71D" w14:textId="77777777" w:rsidR="00897BA4" w:rsidRPr="00380232" w:rsidRDefault="00897BA4" w:rsidP="00897BA4">
            <w:pPr>
              <w:jc w:val="both"/>
              <w:rPr>
                <w:rFonts w:cstheme="minorHAnsi"/>
                <w:b/>
                <w:sz w:val="19"/>
                <w:szCs w:val="19"/>
              </w:rPr>
            </w:pPr>
            <w:r w:rsidRPr="00380232">
              <w:rPr>
                <w:rFonts w:cstheme="minorHAnsi"/>
                <w:b/>
                <w:sz w:val="19"/>
                <w:szCs w:val="19"/>
              </w:rPr>
              <w:t>La empresa debe tener domicilio comercial principal y/o sucursal en las comunas focalizadas, donde implementará el proyecto.</w:t>
            </w:r>
          </w:p>
          <w:p w14:paraId="6D732D8D" w14:textId="07E06035" w:rsidR="00897BA4" w:rsidRPr="0077246D" w:rsidRDefault="00897BA4" w:rsidP="00897BA4">
            <w:pPr>
              <w:rPr>
                <w:rFonts w:cstheme="minorHAnsi"/>
                <w:b/>
                <w:sz w:val="19"/>
                <w:szCs w:val="19"/>
                <w:lang w:val="es-CL" w:eastAsia="en-US"/>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B6393F" w14:textId="77777777" w:rsidR="00897BA4" w:rsidRPr="00C926EE" w:rsidRDefault="00897BA4" w:rsidP="00897BA4">
            <w:pPr>
              <w:pStyle w:val="NormalWeb"/>
              <w:spacing w:before="0" w:beforeAutospacing="0" w:after="0" w:afterAutospacing="0"/>
              <w:jc w:val="both"/>
              <w:textAlignment w:val="center"/>
              <w:rPr>
                <w:rFonts w:cs="Arial"/>
                <w:sz w:val="19"/>
                <w:szCs w:val="19"/>
              </w:rPr>
            </w:pPr>
            <w:r w:rsidRPr="00C926EE">
              <w:rPr>
                <w:rFonts w:eastAsiaTheme="minorEastAsia" w:cs="Arial"/>
                <w:color w:val="000000"/>
                <w:kern w:val="24"/>
                <w:sz w:val="19"/>
                <w:szCs w:val="19"/>
              </w:rPr>
              <w:t xml:space="preserve">La idea de negocio postulada al programa se implementará en alguna de las comunas que forman parte de la Zona Rezagada de la Región de Valparaíso, comunas: La Ligua, Petorca, Cabildo, Nogales, Catemu o Llay-Llay.  </w:t>
            </w:r>
          </w:p>
          <w:p w14:paraId="02BF2592" w14:textId="77777777" w:rsidR="00897BA4" w:rsidRPr="00C926EE" w:rsidRDefault="00897BA4" w:rsidP="00897BA4">
            <w:pPr>
              <w:pStyle w:val="NormalWeb"/>
              <w:spacing w:before="0" w:beforeAutospacing="0" w:after="0" w:afterAutospacing="0"/>
              <w:jc w:val="both"/>
              <w:textAlignment w:val="center"/>
              <w:rPr>
                <w:rFonts w:cs="Arial"/>
                <w:sz w:val="19"/>
                <w:szCs w:val="19"/>
              </w:rPr>
            </w:pPr>
            <w:r w:rsidRPr="00C926EE">
              <w:rPr>
                <w:rFonts w:eastAsiaTheme="minorEastAsia" w:cs="Arial"/>
                <w:color w:val="000000"/>
                <w:kern w:val="24"/>
                <w:sz w:val="19"/>
                <w:szCs w:val="19"/>
              </w:rPr>
              <w:t xml:space="preserve">Territorios insulares, comunas: Isla de Pascua o Juan Fernández. </w:t>
            </w:r>
          </w:p>
          <w:p w14:paraId="7A10F2EE" w14:textId="77777777" w:rsidR="00897BA4" w:rsidRPr="00C926EE" w:rsidRDefault="00897BA4" w:rsidP="00897BA4">
            <w:pPr>
              <w:pStyle w:val="NormalWeb"/>
              <w:spacing w:before="0" w:beforeAutospacing="0" w:after="0" w:afterAutospacing="0"/>
              <w:jc w:val="both"/>
              <w:textAlignment w:val="center"/>
              <w:rPr>
                <w:rFonts w:cs="Arial"/>
                <w:sz w:val="19"/>
                <w:szCs w:val="19"/>
              </w:rPr>
            </w:pPr>
            <w:r w:rsidRPr="00C926EE">
              <w:rPr>
                <w:rFonts w:eastAsiaTheme="minorEastAsia" w:cs="Arial"/>
                <w:color w:val="000000"/>
                <w:kern w:val="24"/>
                <w:sz w:val="19"/>
                <w:szCs w:val="19"/>
              </w:rPr>
              <w:t xml:space="preserve">La empresa debe tener domicilio comercial principal y/o sucursal en las comunas focalizadas, donde implementará el proyecto. </w:t>
            </w:r>
          </w:p>
          <w:p w14:paraId="76A771A8" w14:textId="77448AB2" w:rsidR="00897BA4" w:rsidRPr="00C926EE" w:rsidRDefault="00897BA4" w:rsidP="00897BA4">
            <w:pPr>
              <w:jc w:val="both"/>
              <w:rPr>
                <w:rFonts w:cstheme="minorHAnsi"/>
                <w:b/>
                <w:i/>
                <w:sz w:val="19"/>
                <w:szCs w:val="19"/>
              </w:rPr>
            </w:pPr>
            <w:r w:rsidRPr="00C926EE">
              <w:rPr>
                <w:rFonts w:eastAsiaTheme="minorEastAsia" w:cs="Arial"/>
                <w:b/>
                <w:i/>
                <w:color w:val="000000"/>
                <w:kern w:val="24"/>
                <w:sz w:val="19"/>
                <w:szCs w:val="19"/>
              </w:rPr>
              <w:t>*Nota: Se verificará en la evaluación técnica y/o terreno por parte del AOS para obtener el puntaje.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03F7B" w14:textId="3BAB532F" w:rsidR="00897BA4" w:rsidRPr="00380232" w:rsidRDefault="00897BA4" w:rsidP="00897BA4">
            <w:pPr>
              <w:jc w:val="center"/>
              <w:rPr>
                <w:rFonts w:cstheme="minorHAnsi"/>
                <w:sz w:val="18"/>
                <w:szCs w:val="18"/>
                <w:lang w:val="es-CL" w:eastAsia="en-US"/>
              </w:rPr>
            </w:pPr>
            <w:r w:rsidRPr="00380232">
              <w:rPr>
                <w:rFonts w:eastAsiaTheme="minorEastAsia" w:cs="Arial"/>
                <w:color w:val="000000"/>
                <w:kern w:val="24"/>
                <w:sz w:val="18"/>
                <w:szCs w:val="18"/>
                <w:lang w:val="es-CL"/>
              </w:rPr>
              <w:t>7</w:t>
            </w:r>
          </w:p>
        </w:tc>
        <w:tc>
          <w:tcPr>
            <w:tcW w:w="1335" w:type="dxa"/>
            <w:vMerge w:val="restart"/>
            <w:vAlign w:val="center"/>
            <w:hideMark/>
          </w:tcPr>
          <w:p w14:paraId="3A50187E" w14:textId="6678C493" w:rsidR="00897BA4" w:rsidRPr="00B27021" w:rsidRDefault="00897BA4" w:rsidP="00897BA4">
            <w:pPr>
              <w:jc w:val="center"/>
              <w:rPr>
                <w:rFonts w:cstheme="minorHAnsi"/>
                <w:sz w:val="19"/>
                <w:szCs w:val="19"/>
              </w:rPr>
            </w:pPr>
            <w:r w:rsidRPr="00B27021">
              <w:rPr>
                <w:rFonts w:cstheme="minorHAnsi"/>
                <w:sz w:val="19"/>
                <w:szCs w:val="19"/>
              </w:rPr>
              <w:t>15%</w:t>
            </w:r>
          </w:p>
        </w:tc>
      </w:tr>
      <w:tr w:rsidR="00897BA4" w:rsidRPr="004F6B61" w14:paraId="239B34C1" w14:textId="77777777" w:rsidTr="00380232">
        <w:trPr>
          <w:trHeight w:val="567"/>
          <w:jc w:val="center"/>
        </w:trPr>
        <w:tc>
          <w:tcPr>
            <w:tcW w:w="3539" w:type="dxa"/>
            <w:vMerge/>
            <w:vAlign w:val="center"/>
            <w:hideMark/>
          </w:tcPr>
          <w:p w14:paraId="7C0596DA" w14:textId="77777777" w:rsidR="00897BA4" w:rsidRPr="0077246D" w:rsidRDefault="00897BA4" w:rsidP="00897BA4">
            <w:pPr>
              <w:rPr>
                <w:rFonts w:cstheme="minorHAnsi"/>
                <w:sz w:val="19"/>
                <w:szCs w:val="19"/>
                <w:lang w:val="es-CL" w:eastAsia="en-US"/>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931B6" w14:textId="324A4DCA" w:rsidR="00897BA4" w:rsidRPr="00C926EE" w:rsidRDefault="00897BA4" w:rsidP="00897BA4">
            <w:pPr>
              <w:jc w:val="both"/>
              <w:rPr>
                <w:rFonts w:cstheme="minorHAnsi"/>
                <w:sz w:val="19"/>
                <w:szCs w:val="19"/>
              </w:rPr>
            </w:pPr>
            <w:r w:rsidRPr="00C926EE">
              <w:rPr>
                <w:rFonts w:eastAsiaTheme="minorEastAsia" w:cs="Arial"/>
                <w:color w:val="000000"/>
                <w:kern w:val="24"/>
                <w:sz w:val="19"/>
                <w:szCs w:val="19"/>
              </w:rPr>
              <w:t>La idea de negocio postulada al programa NO se encuentra domiciliada y tampoco se implementará en alguna de las comunas que forman parte de la Zona Rezagada de la Región de Valparaíso, comunas: La Ligua, Petorca, Cabildo, Nogales, Catemu o Llay-Llay.  Territorios insulares, comunas: Isla de Pascua o Juan Fernández.</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51186" w14:textId="36A3052C" w:rsidR="00897BA4" w:rsidRPr="00380232" w:rsidRDefault="00897BA4" w:rsidP="00897BA4">
            <w:pPr>
              <w:jc w:val="center"/>
              <w:rPr>
                <w:rFonts w:cstheme="minorHAnsi"/>
                <w:sz w:val="18"/>
                <w:szCs w:val="18"/>
                <w:lang w:val="es-CL" w:eastAsia="en-US"/>
              </w:rPr>
            </w:pPr>
            <w:r w:rsidRPr="00380232">
              <w:rPr>
                <w:rFonts w:eastAsiaTheme="minorEastAsia" w:cs="Arial"/>
                <w:color w:val="000000"/>
                <w:kern w:val="24"/>
                <w:sz w:val="18"/>
                <w:szCs w:val="18"/>
                <w:lang w:val="es-CL"/>
              </w:rPr>
              <w:t>1</w:t>
            </w:r>
          </w:p>
        </w:tc>
        <w:tc>
          <w:tcPr>
            <w:tcW w:w="1335" w:type="dxa"/>
            <w:vMerge/>
            <w:vAlign w:val="center"/>
            <w:hideMark/>
          </w:tcPr>
          <w:p w14:paraId="7F2E05A3" w14:textId="77777777" w:rsidR="00897BA4" w:rsidRPr="00EC5053" w:rsidRDefault="00897BA4" w:rsidP="00897BA4">
            <w:pPr>
              <w:rPr>
                <w:rFonts w:cstheme="minorHAnsi"/>
                <w:b/>
                <w:sz w:val="20"/>
                <w:szCs w:val="22"/>
                <w:lang w:val="es-CL" w:eastAsia="en-US"/>
              </w:rPr>
            </w:pPr>
          </w:p>
        </w:tc>
      </w:tr>
    </w:tbl>
    <w:p w14:paraId="73C2E332" w14:textId="3DC76A01"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7C3B9F48" w14:textId="21E53D6C"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70FA8A3D" w:rsidR="0093178B" w:rsidRPr="00137ECD" w:rsidRDefault="008E3EA8"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D93F79"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2366C" w14:textId="77777777" w:rsidR="00D93F79" w:rsidRDefault="00D93F79" w:rsidP="0042236C">
      <w:r>
        <w:separator/>
      </w:r>
    </w:p>
  </w:endnote>
  <w:endnote w:type="continuationSeparator" w:id="0">
    <w:p w14:paraId="7CDAE4B0" w14:textId="77777777" w:rsidR="00D93F79" w:rsidRDefault="00D93F7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BA1F11" w:rsidRDefault="00BA1F1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09B8B4EE" w:rsidR="00BA1F11" w:rsidRPr="00BD14F7" w:rsidRDefault="00BA1F11">
    <w:pPr>
      <w:pStyle w:val="Piedepgina"/>
      <w:jc w:val="right"/>
    </w:pPr>
    <w:r w:rsidRPr="00BD14F7">
      <w:fldChar w:fldCharType="begin"/>
    </w:r>
    <w:r w:rsidRPr="00BD14F7">
      <w:instrText>PAGE   \* MERGEFORMAT</w:instrText>
    </w:r>
    <w:r w:rsidRPr="00BD14F7">
      <w:fldChar w:fldCharType="separate"/>
    </w:r>
    <w:r w:rsidR="00B37B69">
      <w:rPr>
        <w:noProof/>
      </w:rPr>
      <w:t>21</w:t>
    </w:r>
    <w:r w:rsidRPr="00BD14F7">
      <w:rPr>
        <w:noProof/>
      </w:rPr>
      <w:fldChar w:fldCharType="end"/>
    </w:r>
  </w:p>
  <w:p w14:paraId="5F9E5B17" w14:textId="77777777" w:rsidR="00BA1F11" w:rsidRPr="00C25B42" w:rsidRDefault="00BA1F11" w:rsidP="00C25B42">
    <w:pPr>
      <w:tabs>
        <w:tab w:val="center" w:pos="4252"/>
        <w:tab w:val="right" w:pos="8504"/>
      </w:tabs>
      <w:jc w:val="center"/>
      <w:rPr>
        <w:sz w:val="24"/>
      </w:rPr>
    </w:pPr>
    <w:r w:rsidRPr="00C25B42">
      <w:rPr>
        <w:noProof/>
        <w:sz w:val="24"/>
        <w:lang w:val="es-CL" w:eastAsia="es-CL"/>
      </w:rPr>
      <w:t>www.sercotec.cl</w:t>
    </w:r>
  </w:p>
  <w:p w14:paraId="5919636F" w14:textId="77777777" w:rsidR="00BA1F11" w:rsidRDefault="00BA1F11"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1840C78E" w:rsidR="00BA1F11" w:rsidRDefault="00BA1F11">
        <w:pPr>
          <w:pStyle w:val="Piedepgina"/>
          <w:jc w:val="right"/>
        </w:pPr>
        <w:r>
          <w:fldChar w:fldCharType="begin"/>
        </w:r>
        <w:r>
          <w:instrText>PAGE   \* MERGEFORMAT</w:instrText>
        </w:r>
        <w:r>
          <w:fldChar w:fldCharType="separate"/>
        </w:r>
        <w:r w:rsidR="00B37B69">
          <w:rPr>
            <w:noProof/>
          </w:rPr>
          <w:t>1</w:t>
        </w:r>
        <w:r>
          <w:fldChar w:fldCharType="end"/>
        </w:r>
      </w:p>
    </w:sdtContent>
  </w:sdt>
  <w:p w14:paraId="1A156B1C" w14:textId="06D356CA" w:rsidR="00BA1F11" w:rsidRDefault="00BA1F11"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BEE43" w14:textId="77777777" w:rsidR="00D93F79" w:rsidRDefault="00D93F79"/>
  </w:footnote>
  <w:footnote w:type="continuationSeparator" w:id="0">
    <w:p w14:paraId="056FBA59" w14:textId="77777777" w:rsidR="00D93F79" w:rsidRDefault="00D93F79"/>
  </w:footnote>
  <w:footnote w:id="1">
    <w:p w14:paraId="553DF13E" w14:textId="78B2736A" w:rsidR="00BA1F11" w:rsidRPr="004244F2" w:rsidRDefault="00BA1F1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A1F11" w:rsidRPr="0070407B" w:rsidRDefault="00BA1F11"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A1F11" w:rsidRPr="002E7EE6" w:rsidRDefault="00BA1F11"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A1F11" w:rsidRPr="002E7EE6" w:rsidRDefault="00BA1F11">
      <w:pPr>
        <w:pStyle w:val="Textonotapie"/>
        <w:rPr>
          <w:lang w:val="es-419"/>
        </w:rPr>
      </w:pPr>
    </w:p>
  </w:footnote>
  <w:footnote w:id="4">
    <w:p w14:paraId="7597D5E8" w14:textId="77777777" w:rsidR="00BA1F11" w:rsidRPr="00273436" w:rsidRDefault="00BA1F1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A1F11" w:rsidRPr="005F4396" w:rsidRDefault="00BA1F11">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A1F11" w:rsidRPr="002B0090" w:rsidRDefault="00BA1F11"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258244DF" w14:textId="77777777" w:rsidR="00897BA4" w:rsidRPr="00A43847" w:rsidRDefault="00897BA4" w:rsidP="004101D3">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BA1F11" w:rsidRPr="00D4342C" w:rsidRDefault="00BA1F11" w:rsidP="00D4342C">
      <w:pPr>
        <w:pStyle w:val="Textonotapie"/>
      </w:pPr>
    </w:p>
  </w:footnote>
  <w:footnote w:id="9">
    <w:p w14:paraId="0A3FD0F5" w14:textId="77777777" w:rsidR="00BA1F11" w:rsidRPr="00012C13" w:rsidRDefault="00BA1F11"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BA1F11" w:rsidRPr="00686FCB" w:rsidRDefault="00BA1F11"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A1F11" w:rsidRPr="00023CC5" w:rsidRDefault="00BA1F11">
      <w:pPr>
        <w:pStyle w:val="Textonotapie"/>
        <w:rPr>
          <w:lang w:val="es-MX"/>
        </w:rPr>
      </w:pPr>
    </w:p>
  </w:footnote>
  <w:footnote w:id="11">
    <w:p w14:paraId="1665FABF" w14:textId="011C2DCA" w:rsidR="00BA1F11" w:rsidRPr="004746C2" w:rsidRDefault="00BA1F11"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BA1F11" w:rsidRPr="004746C2" w:rsidRDefault="00BA1F11">
      <w:pPr>
        <w:pStyle w:val="Textonotapie"/>
        <w:rPr>
          <w:szCs w:val="18"/>
          <w:lang w:val="es-ES"/>
        </w:rPr>
      </w:pPr>
    </w:p>
  </w:footnote>
  <w:footnote w:id="12">
    <w:p w14:paraId="5CA30445" w14:textId="77777777" w:rsidR="00BA1F11" w:rsidRPr="002B75C6" w:rsidRDefault="00BA1F1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BA1F11" w:rsidRPr="00A75D6D" w:rsidRDefault="00BA1F11"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BA1F11" w:rsidRPr="004B1C4D" w:rsidRDefault="00BA1F11"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BA1F11" w:rsidRPr="004B1C4D" w:rsidRDefault="00BA1F11">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BA1F11" w:rsidRPr="00973621" w:rsidRDefault="00BA1F11"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BA1F11" w:rsidRDefault="00BA1F1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BA1F11" w:rsidRDefault="00BA1F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A1F11" w:rsidRDefault="00BA1F11"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A1F11" w:rsidRDefault="00BA1F11"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A1F11" w:rsidRDefault="00BA1F11">
    <w:pPr>
      <w:pStyle w:val="Encabezado"/>
      <w:jc w:val="right"/>
    </w:pPr>
  </w:p>
  <w:p w14:paraId="69A0911A" w14:textId="77777777" w:rsidR="00BA1F11" w:rsidRDefault="00BA1F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6"/>
  </w:num>
  <w:num w:numId="13">
    <w:abstractNumId w:val="62"/>
  </w:num>
  <w:num w:numId="14">
    <w:abstractNumId w:val="18"/>
  </w:num>
  <w:num w:numId="15">
    <w:abstractNumId w:val="65"/>
  </w:num>
  <w:num w:numId="16">
    <w:abstractNumId w:val="2"/>
  </w:num>
  <w:num w:numId="17">
    <w:abstractNumId w:val="69"/>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4"/>
  </w:num>
  <w:num w:numId="41">
    <w:abstractNumId w:val="38"/>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0"/>
  </w:num>
  <w:num w:numId="71">
    <w:abstractNumId w:val="3"/>
  </w:num>
  <w:num w:numId="72">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577"/>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3CE"/>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684"/>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77"/>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2FF"/>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8C1"/>
    <w:rsid w:val="000C5FF2"/>
    <w:rsid w:val="000C6085"/>
    <w:rsid w:val="000C60A2"/>
    <w:rsid w:val="000C6686"/>
    <w:rsid w:val="000C6899"/>
    <w:rsid w:val="000C68B3"/>
    <w:rsid w:val="000C6F9B"/>
    <w:rsid w:val="000C7537"/>
    <w:rsid w:val="000C7FE5"/>
    <w:rsid w:val="000D0662"/>
    <w:rsid w:val="000D0BBE"/>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051"/>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CB5"/>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2E45"/>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232"/>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422B"/>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28F"/>
    <w:rsid w:val="004A34EB"/>
    <w:rsid w:val="004A40EA"/>
    <w:rsid w:val="004A4870"/>
    <w:rsid w:val="004A4B6E"/>
    <w:rsid w:val="004A5FA7"/>
    <w:rsid w:val="004A6FDA"/>
    <w:rsid w:val="004A76D8"/>
    <w:rsid w:val="004B05C0"/>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264C"/>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0D4"/>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5CE1"/>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8B5"/>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1821"/>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1BA"/>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47B01"/>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574"/>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BA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415E"/>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3EA8"/>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4FC4"/>
    <w:rsid w:val="009C54AE"/>
    <w:rsid w:val="009C5559"/>
    <w:rsid w:val="009C5C99"/>
    <w:rsid w:val="009C6896"/>
    <w:rsid w:val="009C6AB5"/>
    <w:rsid w:val="009C7080"/>
    <w:rsid w:val="009C7AEA"/>
    <w:rsid w:val="009D0C0F"/>
    <w:rsid w:val="009D0D8C"/>
    <w:rsid w:val="009D1507"/>
    <w:rsid w:val="009D192C"/>
    <w:rsid w:val="009D1C86"/>
    <w:rsid w:val="009D2B8D"/>
    <w:rsid w:val="009D3800"/>
    <w:rsid w:val="009D3C1F"/>
    <w:rsid w:val="009D3DD2"/>
    <w:rsid w:val="009D430C"/>
    <w:rsid w:val="009D43CE"/>
    <w:rsid w:val="009D44B6"/>
    <w:rsid w:val="009D4F4A"/>
    <w:rsid w:val="009D570A"/>
    <w:rsid w:val="009D5D71"/>
    <w:rsid w:val="009D6699"/>
    <w:rsid w:val="009D6CD1"/>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9C7"/>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E6E"/>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25C1"/>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93D"/>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021"/>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69"/>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0AD4"/>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BF7479"/>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3CE"/>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2A6D"/>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2621"/>
    <w:rsid w:val="00C83DF9"/>
    <w:rsid w:val="00C845DF"/>
    <w:rsid w:val="00C84733"/>
    <w:rsid w:val="00C84C43"/>
    <w:rsid w:val="00C856A6"/>
    <w:rsid w:val="00C86611"/>
    <w:rsid w:val="00C872E3"/>
    <w:rsid w:val="00C876B4"/>
    <w:rsid w:val="00C9111E"/>
    <w:rsid w:val="00C91D77"/>
    <w:rsid w:val="00C91FE5"/>
    <w:rsid w:val="00C9219B"/>
    <w:rsid w:val="00C92322"/>
    <w:rsid w:val="00C926EE"/>
    <w:rsid w:val="00C92A41"/>
    <w:rsid w:val="00C92C0A"/>
    <w:rsid w:val="00C93FEB"/>
    <w:rsid w:val="00C940B0"/>
    <w:rsid w:val="00C949B5"/>
    <w:rsid w:val="00C95231"/>
    <w:rsid w:val="00C9567F"/>
    <w:rsid w:val="00C959A1"/>
    <w:rsid w:val="00C95DAF"/>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2F25"/>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3F79"/>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8BC"/>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3F"/>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511"/>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66B"/>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5D5CE1"/>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51800491">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07035">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11334037">
      <w:bodyDiv w:val="1"/>
      <w:marLeft w:val="0"/>
      <w:marRight w:val="0"/>
      <w:marTop w:val="0"/>
      <w:marBottom w:val="0"/>
      <w:divBdr>
        <w:top w:val="none" w:sz="0" w:space="0" w:color="auto"/>
        <w:left w:val="none" w:sz="0" w:space="0" w:color="auto"/>
        <w:bottom w:val="none" w:sz="0" w:space="0" w:color="auto"/>
        <w:right w:val="none" w:sz="0" w:space="0" w:color="auto"/>
      </w:divBdr>
    </w:div>
    <w:div w:id="1215199439">
      <w:bodyDiv w:val="1"/>
      <w:marLeft w:val="0"/>
      <w:marRight w:val="0"/>
      <w:marTop w:val="0"/>
      <w:marBottom w:val="0"/>
      <w:divBdr>
        <w:top w:val="none" w:sz="0" w:space="0" w:color="auto"/>
        <w:left w:val="none" w:sz="0" w:space="0" w:color="auto"/>
        <w:bottom w:val="none" w:sz="0" w:space="0" w:color="auto"/>
        <w:right w:val="none" w:sz="0" w:space="0" w:color="auto"/>
      </w:divBdr>
    </w:div>
    <w:div w:id="1242063362">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7751936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37672536">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8.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D1FF-9124-4B67-AC64-56617545ADF8}">
  <ds:schemaRefs>
    <ds:schemaRef ds:uri="office.server.policy"/>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4.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5.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6.xml><?xml version="1.0" encoding="utf-8"?>
<ds:datastoreItem xmlns:ds="http://schemas.openxmlformats.org/officeDocument/2006/customXml" ds:itemID="{AF7CE60C-6A6B-4813-BE2B-7CBFED3B5097}">
  <ds:schemaRefs/>
</ds:datastoreItem>
</file>

<file path=customXml/itemProps7.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8.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CDAAA041-6CC3-491D-AAE6-92032C1F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19685</Words>
  <Characters>108273</Characters>
  <Application>Microsoft Office Word</Application>
  <DocSecurity>0</DocSecurity>
  <Lines>902</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127703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53</cp:revision>
  <cp:lastPrinted>2023-05-02T17:31:00Z</cp:lastPrinted>
  <dcterms:created xsi:type="dcterms:W3CDTF">2023-04-23T21:45:00Z</dcterms:created>
  <dcterms:modified xsi:type="dcterms:W3CDTF">2023-05-02T17:31:00Z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