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08E8E5D0" w14:textId="259CF127" w:rsidR="00C05310" w:rsidRDefault="003777B2">
      <w:pPr>
        <w:spacing w:after="0" w:line="480" w:lineRule="auto"/>
        <w:jc w:val="center"/>
        <w:rPr>
          <w:rFonts w:ascii="Arial" w:eastAsia="gobCL" w:hAnsi="Arial" w:cs="Arial"/>
          <w:b/>
        </w:rPr>
      </w:pPr>
      <w:r>
        <w:rPr>
          <w:rFonts w:ascii="Arial" w:eastAsia="gobCL" w:hAnsi="Arial" w:cs="Arial"/>
          <w:b/>
        </w:rPr>
        <w:t>PROVINCIA DEL TAMARUGAL</w:t>
      </w:r>
    </w:p>
    <w:p w14:paraId="10DC3C03" w14:textId="476651A8" w:rsidR="003777B2" w:rsidRPr="008C4570" w:rsidRDefault="003777B2">
      <w:pPr>
        <w:spacing w:after="0" w:line="480" w:lineRule="auto"/>
        <w:jc w:val="center"/>
        <w:rPr>
          <w:rFonts w:ascii="Arial" w:eastAsia="gobCL" w:hAnsi="Arial" w:cs="Arial"/>
          <w:b/>
        </w:rPr>
      </w:pPr>
      <w:r>
        <w:rPr>
          <w:rFonts w:ascii="Arial" w:eastAsia="gobCL" w:hAnsi="Arial" w:cs="Arial"/>
          <w:b/>
        </w:rPr>
        <w:t>REGIÓN DE TARAPACÁ</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391B63D2" w14:textId="77777777" w:rsidR="00583D46" w:rsidRPr="003777B2" w:rsidRDefault="004B5FE5">
          <w:pPr>
            <w:pStyle w:val="TtuloTDC"/>
            <w:rPr>
              <w:rFonts w:ascii="Arial" w:hAnsi="Arial" w:cs="Arial"/>
              <w:sz w:val="18"/>
              <w:szCs w:val="18"/>
            </w:rPr>
          </w:pPr>
          <w:r w:rsidRPr="003777B2">
            <w:rPr>
              <w:rFonts w:ascii="Arial" w:hAnsi="Arial" w:cs="Arial"/>
              <w:sz w:val="18"/>
              <w:szCs w:val="18"/>
              <w:lang w:val="es-ES"/>
            </w:rPr>
            <w:t>Índice</w:t>
          </w:r>
        </w:p>
        <w:p w14:paraId="7B12A3D5" w14:textId="6DB26290" w:rsidR="003777B2" w:rsidRPr="003777B2" w:rsidRDefault="00583D46">
          <w:pPr>
            <w:pStyle w:val="TDC1"/>
            <w:rPr>
              <w:rFonts w:ascii="Arial" w:hAnsi="Arial" w:cs="Arial"/>
              <w:noProof/>
              <w:sz w:val="18"/>
              <w:szCs w:val="18"/>
              <w:lang w:val="es-419" w:eastAsia="es-419"/>
            </w:rPr>
          </w:pPr>
          <w:r w:rsidRPr="003777B2">
            <w:rPr>
              <w:rFonts w:ascii="Arial" w:hAnsi="Arial" w:cs="Arial"/>
              <w:sz w:val="18"/>
              <w:szCs w:val="18"/>
            </w:rPr>
            <w:fldChar w:fldCharType="begin"/>
          </w:r>
          <w:r w:rsidRPr="003777B2">
            <w:rPr>
              <w:rFonts w:ascii="Arial" w:hAnsi="Arial" w:cs="Arial"/>
              <w:sz w:val="18"/>
              <w:szCs w:val="18"/>
            </w:rPr>
            <w:instrText xml:space="preserve"> TOC \o "1-3" \h \z \u </w:instrText>
          </w:r>
          <w:r w:rsidRPr="003777B2">
            <w:rPr>
              <w:rFonts w:ascii="Arial" w:hAnsi="Arial" w:cs="Arial"/>
              <w:sz w:val="18"/>
              <w:szCs w:val="18"/>
            </w:rPr>
            <w:fldChar w:fldCharType="separate"/>
          </w:r>
          <w:hyperlink w:anchor="_Toc132399424" w:history="1">
            <w:r w:rsidR="003777B2" w:rsidRPr="003777B2">
              <w:rPr>
                <w:rStyle w:val="Hipervnculo"/>
                <w:rFonts w:ascii="Arial" w:hAnsi="Arial" w:cs="Arial"/>
                <w:noProof/>
                <w:sz w:val="18"/>
                <w:szCs w:val="18"/>
              </w:rPr>
              <w:t>1.</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Descripción General</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_Toc132399424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3</w:t>
            </w:r>
            <w:r w:rsidR="003777B2" w:rsidRPr="003777B2">
              <w:rPr>
                <w:rFonts w:ascii="Arial" w:hAnsi="Arial" w:cs="Arial"/>
                <w:noProof/>
                <w:webHidden/>
                <w:sz w:val="18"/>
                <w:szCs w:val="18"/>
              </w:rPr>
              <w:fldChar w:fldCharType="end"/>
            </w:r>
          </w:hyperlink>
        </w:p>
        <w:p w14:paraId="15240CB5" w14:textId="0A228EED" w:rsidR="003777B2" w:rsidRPr="003777B2" w:rsidRDefault="00E2609E">
          <w:pPr>
            <w:pStyle w:val="TDC2"/>
            <w:rPr>
              <w:rFonts w:ascii="Arial" w:hAnsi="Arial" w:cs="Arial"/>
              <w:noProof/>
              <w:sz w:val="18"/>
              <w:szCs w:val="18"/>
              <w:lang w:val="es-419" w:eastAsia="es-419"/>
            </w:rPr>
          </w:pPr>
          <w:hyperlink w:anchor="_Toc132399425" w:history="1">
            <w:r w:rsidR="003777B2" w:rsidRPr="003777B2">
              <w:rPr>
                <w:rStyle w:val="Hipervnculo"/>
                <w:rFonts w:ascii="Arial" w:hAnsi="Arial" w:cs="Arial"/>
                <w:noProof/>
                <w:sz w:val="18"/>
                <w:szCs w:val="18"/>
              </w:rPr>
              <w:t>1.1.</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¿Qué es?</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_Toc132399425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3</w:t>
            </w:r>
            <w:r w:rsidR="003777B2" w:rsidRPr="003777B2">
              <w:rPr>
                <w:rFonts w:ascii="Arial" w:hAnsi="Arial" w:cs="Arial"/>
                <w:noProof/>
                <w:webHidden/>
                <w:sz w:val="18"/>
                <w:szCs w:val="18"/>
              </w:rPr>
              <w:fldChar w:fldCharType="end"/>
            </w:r>
          </w:hyperlink>
        </w:p>
        <w:p w14:paraId="230825A4" w14:textId="10D06F29" w:rsidR="003777B2" w:rsidRPr="003777B2" w:rsidRDefault="00E2609E">
          <w:pPr>
            <w:pStyle w:val="TDC2"/>
            <w:rPr>
              <w:rFonts w:ascii="Arial" w:hAnsi="Arial" w:cs="Arial"/>
              <w:noProof/>
              <w:sz w:val="18"/>
              <w:szCs w:val="18"/>
              <w:lang w:val="es-419" w:eastAsia="es-419"/>
            </w:rPr>
          </w:pPr>
          <w:hyperlink w:anchor="_Toc132399426" w:history="1">
            <w:r w:rsidR="003777B2" w:rsidRPr="003777B2">
              <w:rPr>
                <w:rStyle w:val="Hipervnculo"/>
                <w:rFonts w:ascii="Arial" w:hAnsi="Arial" w:cs="Arial"/>
                <w:noProof/>
                <w:sz w:val="18"/>
                <w:szCs w:val="18"/>
              </w:rPr>
              <w:t>1.2.</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¿A quiénes está dirigido?</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_Toc132399426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3</w:t>
            </w:r>
            <w:r w:rsidR="003777B2" w:rsidRPr="003777B2">
              <w:rPr>
                <w:rFonts w:ascii="Arial" w:hAnsi="Arial" w:cs="Arial"/>
                <w:noProof/>
                <w:webHidden/>
                <w:sz w:val="18"/>
                <w:szCs w:val="18"/>
              </w:rPr>
              <w:fldChar w:fldCharType="end"/>
            </w:r>
          </w:hyperlink>
        </w:p>
        <w:p w14:paraId="0A98CCAA" w14:textId="2386AE38" w:rsidR="003777B2" w:rsidRPr="003777B2" w:rsidRDefault="00E2609E">
          <w:pPr>
            <w:pStyle w:val="TDC2"/>
            <w:rPr>
              <w:rFonts w:ascii="Arial" w:hAnsi="Arial" w:cs="Arial"/>
              <w:noProof/>
              <w:sz w:val="18"/>
              <w:szCs w:val="18"/>
              <w:lang w:val="es-419" w:eastAsia="es-419"/>
            </w:rPr>
          </w:pPr>
          <w:hyperlink w:anchor="_Toc132399427" w:history="1">
            <w:r w:rsidR="003777B2" w:rsidRPr="003777B2">
              <w:rPr>
                <w:rStyle w:val="Hipervnculo"/>
                <w:rFonts w:ascii="Arial" w:hAnsi="Arial" w:cs="Arial"/>
                <w:noProof/>
                <w:sz w:val="18"/>
                <w:szCs w:val="18"/>
              </w:rPr>
              <w:t>1.3.</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Requisitos</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_Toc132399427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5</w:t>
            </w:r>
            <w:r w:rsidR="003777B2" w:rsidRPr="003777B2">
              <w:rPr>
                <w:rFonts w:ascii="Arial" w:hAnsi="Arial" w:cs="Arial"/>
                <w:noProof/>
                <w:webHidden/>
                <w:sz w:val="18"/>
                <w:szCs w:val="18"/>
              </w:rPr>
              <w:fldChar w:fldCharType="end"/>
            </w:r>
          </w:hyperlink>
        </w:p>
        <w:p w14:paraId="22F03F32" w14:textId="3D53CAD5" w:rsidR="003777B2" w:rsidRPr="003777B2" w:rsidRDefault="00E2609E">
          <w:pPr>
            <w:pStyle w:val="TDC3"/>
            <w:rPr>
              <w:rFonts w:ascii="Arial" w:hAnsi="Arial" w:cs="Arial"/>
              <w:noProof/>
              <w:sz w:val="18"/>
              <w:szCs w:val="18"/>
              <w:lang w:val="es-419" w:eastAsia="es-419"/>
            </w:rPr>
          </w:pPr>
          <w:hyperlink w:anchor="_Toc132399428" w:history="1">
            <w:r w:rsidR="003777B2" w:rsidRPr="003777B2">
              <w:rPr>
                <w:rStyle w:val="Hipervnculo"/>
                <w:rFonts w:ascii="Arial" w:hAnsi="Arial" w:cs="Arial"/>
                <w:noProof/>
                <w:sz w:val="18"/>
                <w:szCs w:val="18"/>
              </w:rPr>
              <w:t>1.3.1</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Requisitos de admisibilidad automática</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_Toc132399428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5</w:t>
            </w:r>
            <w:r w:rsidR="003777B2" w:rsidRPr="003777B2">
              <w:rPr>
                <w:rFonts w:ascii="Arial" w:hAnsi="Arial" w:cs="Arial"/>
                <w:noProof/>
                <w:webHidden/>
                <w:sz w:val="18"/>
                <w:szCs w:val="18"/>
              </w:rPr>
              <w:fldChar w:fldCharType="end"/>
            </w:r>
          </w:hyperlink>
        </w:p>
        <w:p w14:paraId="75B525CC" w14:textId="5A9ED42A" w:rsidR="003777B2" w:rsidRPr="003777B2" w:rsidRDefault="00E2609E">
          <w:pPr>
            <w:pStyle w:val="TDC3"/>
            <w:rPr>
              <w:rFonts w:ascii="Arial" w:hAnsi="Arial" w:cs="Arial"/>
              <w:noProof/>
              <w:sz w:val="18"/>
              <w:szCs w:val="18"/>
              <w:lang w:val="es-419" w:eastAsia="es-419"/>
            </w:rPr>
          </w:pPr>
          <w:hyperlink w:anchor="_Toc132399429" w:history="1">
            <w:r w:rsidR="003777B2" w:rsidRPr="003777B2">
              <w:rPr>
                <w:rStyle w:val="Hipervnculo"/>
                <w:rFonts w:ascii="Arial" w:hAnsi="Arial" w:cs="Arial"/>
                <w:noProof/>
                <w:sz w:val="18"/>
                <w:szCs w:val="18"/>
              </w:rPr>
              <w:t>1.3.2</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Requisitos de validación manual</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_Toc132399429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5</w:t>
            </w:r>
            <w:r w:rsidR="003777B2" w:rsidRPr="003777B2">
              <w:rPr>
                <w:rFonts w:ascii="Arial" w:hAnsi="Arial" w:cs="Arial"/>
                <w:noProof/>
                <w:webHidden/>
                <w:sz w:val="18"/>
                <w:szCs w:val="18"/>
              </w:rPr>
              <w:fldChar w:fldCharType="end"/>
            </w:r>
          </w:hyperlink>
        </w:p>
        <w:p w14:paraId="4177EBA2" w14:textId="6116EF15" w:rsidR="003777B2" w:rsidRPr="003777B2" w:rsidRDefault="00E2609E">
          <w:pPr>
            <w:pStyle w:val="TDC3"/>
            <w:rPr>
              <w:rFonts w:ascii="Arial" w:hAnsi="Arial" w:cs="Arial"/>
              <w:noProof/>
              <w:sz w:val="18"/>
              <w:szCs w:val="18"/>
              <w:lang w:val="es-419" w:eastAsia="es-419"/>
            </w:rPr>
          </w:pPr>
          <w:hyperlink w:anchor="_Toc132399430" w:history="1">
            <w:r w:rsidR="003777B2" w:rsidRPr="003777B2">
              <w:rPr>
                <w:rStyle w:val="Hipervnculo"/>
                <w:rFonts w:ascii="Arial" w:hAnsi="Arial" w:cs="Arial"/>
                <w:noProof/>
                <w:sz w:val="18"/>
                <w:szCs w:val="18"/>
              </w:rPr>
              <w:t>1.3.3</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Requisitos de evaluación técnica en terreno.</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_Toc132399430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6</w:t>
            </w:r>
            <w:r w:rsidR="003777B2" w:rsidRPr="003777B2">
              <w:rPr>
                <w:rFonts w:ascii="Arial" w:hAnsi="Arial" w:cs="Arial"/>
                <w:noProof/>
                <w:webHidden/>
                <w:sz w:val="18"/>
                <w:szCs w:val="18"/>
              </w:rPr>
              <w:fldChar w:fldCharType="end"/>
            </w:r>
          </w:hyperlink>
        </w:p>
        <w:p w14:paraId="30978EAD" w14:textId="4F3C3DB7" w:rsidR="003777B2" w:rsidRPr="003777B2" w:rsidRDefault="00E2609E">
          <w:pPr>
            <w:pStyle w:val="TDC3"/>
            <w:rPr>
              <w:rFonts w:ascii="Arial" w:hAnsi="Arial" w:cs="Arial"/>
              <w:noProof/>
              <w:sz w:val="18"/>
              <w:szCs w:val="18"/>
              <w:lang w:val="es-419" w:eastAsia="es-419"/>
            </w:rPr>
          </w:pPr>
          <w:hyperlink w:anchor="_Toc132399431" w:history="1">
            <w:r w:rsidR="003777B2" w:rsidRPr="003777B2">
              <w:rPr>
                <w:rStyle w:val="Hipervnculo"/>
                <w:rFonts w:ascii="Arial" w:hAnsi="Arial" w:cs="Arial"/>
                <w:noProof/>
                <w:sz w:val="18"/>
                <w:szCs w:val="18"/>
              </w:rPr>
              <w:t>1.3.4</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Requisitos y documentos necesarios para la formalización de los/as postulantes notificados como seleccionados.</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_Toc132399431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6</w:t>
            </w:r>
            <w:r w:rsidR="003777B2" w:rsidRPr="003777B2">
              <w:rPr>
                <w:rFonts w:ascii="Arial" w:hAnsi="Arial" w:cs="Arial"/>
                <w:noProof/>
                <w:webHidden/>
                <w:sz w:val="18"/>
                <w:szCs w:val="18"/>
              </w:rPr>
              <w:fldChar w:fldCharType="end"/>
            </w:r>
          </w:hyperlink>
        </w:p>
        <w:p w14:paraId="4149611C" w14:textId="2684822D" w:rsidR="003777B2" w:rsidRPr="003777B2" w:rsidRDefault="00E2609E">
          <w:pPr>
            <w:pStyle w:val="TDC2"/>
            <w:rPr>
              <w:rFonts w:ascii="Arial" w:hAnsi="Arial" w:cs="Arial"/>
              <w:noProof/>
              <w:sz w:val="18"/>
              <w:szCs w:val="18"/>
              <w:lang w:val="es-419" w:eastAsia="es-419"/>
            </w:rPr>
          </w:pPr>
          <w:hyperlink w:anchor="_Toc132399432" w:history="1">
            <w:r w:rsidR="003777B2" w:rsidRPr="003777B2">
              <w:rPr>
                <w:rStyle w:val="Hipervnculo"/>
                <w:rFonts w:ascii="Arial" w:hAnsi="Arial" w:cs="Arial"/>
                <w:noProof/>
                <w:sz w:val="18"/>
                <w:szCs w:val="18"/>
              </w:rPr>
              <w:t>1.4</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¿Qué financia?</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_Toc132399432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7</w:t>
            </w:r>
            <w:r w:rsidR="003777B2" w:rsidRPr="003777B2">
              <w:rPr>
                <w:rFonts w:ascii="Arial" w:hAnsi="Arial" w:cs="Arial"/>
                <w:noProof/>
                <w:webHidden/>
                <w:sz w:val="18"/>
                <w:szCs w:val="18"/>
              </w:rPr>
              <w:fldChar w:fldCharType="end"/>
            </w:r>
          </w:hyperlink>
        </w:p>
        <w:p w14:paraId="371F35FB" w14:textId="68873B76" w:rsidR="003777B2" w:rsidRPr="003777B2" w:rsidRDefault="00E2609E">
          <w:pPr>
            <w:pStyle w:val="TDC2"/>
            <w:rPr>
              <w:rFonts w:ascii="Arial" w:hAnsi="Arial" w:cs="Arial"/>
              <w:noProof/>
              <w:sz w:val="18"/>
              <w:szCs w:val="18"/>
              <w:lang w:val="es-419" w:eastAsia="es-419"/>
            </w:rPr>
          </w:pPr>
          <w:hyperlink w:anchor="_Toc132399433" w:history="1">
            <w:r w:rsidR="003777B2" w:rsidRPr="003777B2">
              <w:rPr>
                <w:rStyle w:val="Hipervnculo"/>
                <w:rFonts w:ascii="Arial" w:hAnsi="Arial" w:cs="Arial"/>
                <w:noProof/>
                <w:sz w:val="18"/>
                <w:szCs w:val="18"/>
              </w:rPr>
              <w:t>1.5</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¿Qué NO financia el instrumento?</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_Toc132399433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9</w:t>
            </w:r>
            <w:r w:rsidR="003777B2" w:rsidRPr="003777B2">
              <w:rPr>
                <w:rFonts w:ascii="Arial" w:hAnsi="Arial" w:cs="Arial"/>
                <w:noProof/>
                <w:webHidden/>
                <w:sz w:val="18"/>
                <w:szCs w:val="18"/>
              </w:rPr>
              <w:fldChar w:fldCharType="end"/>
            </w:r>
          </w:hyperlink>
        </w:p>
        <w:p w14:paraId="4366AA9C" w14:textId="706A1007" w:rsidR="003777B2" w:rsidRPr="003777B2" w:rsidRDefault="00E2609E">
          <w:pPr>
            <w:pStyle w:val="TDC1"/>
            <w:rPr>
              <w:rFonts w:ascii="Arial" w:hAnsi="Arial" w:cs="Arial"/>
              <w:noProof/>
              <w:sz w:val="18"/>
              <w:szCs w:val="18"/>
              <w:lang w:val="es-419" w:eastAsia="es-419"/>
            </w:rPr>
          </w:pPr>
          <w:hyperlink w:anchor="_Toc132399434" w:history="1">
            <w:r w:rsidR="003777B2" w:rsidRPr="003777B2">
              <w:rPr>
                <w:rStyle w:val="Hipervnculo"/>
                <w:rFonts w:ascii="Arial" w:hAnsi="Arial" w:cs="Arial"/>
                <w:noProof/>
                <w:sz w:val="18"/>
                <w:szCs w:val="18"/>
              </w:rPr>
              <w:t>2.</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Postulación</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_Toc132399434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10</w:t>
            </w:r>
            <w:r w:rsidR="003777B2" w:rsidRPr="003777B2">
              <w:rPr>
                <w:rFonts w:ascii="Arial" w:hAnsi="Arial" w:cs="Arial"/>
                <w:noProof/>
                <w:webHidden/>
                <w:sz w:val="18"/>
                <w:szCs w:val="18"/>
              </w:rPr>
              <w:fldChar w:fldCharType="end"/>
            </w:r>
          </w:hyperlink>
        </w:p>
        <w:p w14:paraId="54AC0700" w14:textId="051CC8D5" w:rsidR="003777B2" w:rsidRPr="003777B2" w:rsidRDefault="00E2609E">
          <w:pPr>
            <w:pStyle w:val="TDC2"/>
            <w:rPr>
              <w:rFonts w:ascii="Arial" w:hAnsi="Arial" w:cs="Arial"/>
              <w:noProof/>
              <w:sz w:val="18"/>
              <w:szCs w:val="18"/>
              <w:lang w:val="es-419" w:eastAsia="es-419"/>
            </w:rPr>
          </w:pPr>
          <w:hyperlink w:anchor="_Toc132399435" w:history="1">
            <w:r w:rsidR="003777B2" w:rsidRPr="003777B2">
              <w:rPr>
                <w:rStyle w:val="Hipervnculo"/>
                <w:rFonts w:ascii="Arial" w:hAnsi="Arial" w:cs="Arial"/>
                <w:noProof/>
                <w:sz w:val="18"/>
                <w:szCs w:val="18"/>
              </w:rPr>
              <w:t>2.1.</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Plazos de postulación</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_Toc132399435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10</w:t>
            </w:r>
            <w:r w:rsidR="003777B2" w:rsidRPr="003777B2">
              <w:rPr>
                <w:rFonts w:ascii="Arial" w:hAnsi="Arial" w:cs="Arial"/>
                <w:noProof/>
                <w:webHidden/>
                <w:sz w:val="18"/>
                <w:szCs w:val="18"/>
              </w:rPr>
              <w:fldChar w:fldCharType="end"/>
            </w:r>
          </w:hyperlink>
        </w:p>
        <w:p w14:paraId="66956D27" w14:textId="13BC40E2" w:rsidR="003777B2" w:rsidRPr="003777B2" w:rsidRDefault="00E2609E">
          <w:pPr>
            <w:pStyle w:val="TDC2"/>
            <w:rPr>
              <w:rFonts w:ascii="Arial" w:hAnsi="Arial" w:cs="Arial"/>
              <w:noProof/>
              <w:sz w:val="18"/>
              <w:szCs w:val="18"/>
              <w:lang w:val="es-419" w:eastAsia="es-419"/>
            </w:rPr>
          </w:pPr>
          <w:hyperlink w:anchor="_Toc132399436" w:history="1">
            <w:r w:rsidR="003777B2" w:rsidRPr="003777B2">
              <w:rPr>
                <w:rStyle w:val="Hipervnculo"/>
                <w:rFonts w:ascii="Arial" w:hAnsi="Arial" w:cs="Arial"/>
                <w:noProof/>
                <w:sz w:val="18"/>
                <w:szCs w:val="18"/>
              </w:rPr>
              <w:t>2.2.</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Pasos para postular</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_Toc132399436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10</w:t>
            </w:r>
            <w:r w:rsidR="003777B2" w:rsidRPr="003777B2">
              <w:rPr>
                <w:rFonts w:ascii="Arial" w:hAnsi="Arial" w:cs="Arial"/>
                <w:noProof/>
                <w:webHidden/>
                <w:sz w:val="18"/>
                <w:szCs w:val="18"/>
              </w:rPr>
              <w:fldChar w:fldCharType="end"/>
            </w:r>
          </w:hyperlink>
        </w:p>
        <w:p w14:paraId="0D896F6D" w14:textId="1E8DCD58" w:rsidR="003777B2" w:rsidRPr="003777B2" w:rsidRDefault="00E2609E">
          <w:pPr>
            <w:pStyle w:val="TDC1"/>
            <w:rPr>
              <w:rFonts w:ascii="Arial" w:hAnsi="Arial" w:cs="Arial"/>
              <w:noProof/>
              <w:sz w:val="18"/>
              <w:szCs w:val="18"/>
              <w:lang w:val="es-419" w:eastAsia="es-419"/>
            </w:rPr>
          </w:pPr>
          <w:hyperlink w:anchor="_Toc132399437" w:history="1">
            <w:r w:rsidR="003777B2" w:rsidRPr="003777B2">
              <w:rPr>
                <w:rStyle w:val="Hipervnculo"/>
                <w:rFonts w:ascii="Arial" w:hAnsi="Arial" w:cs="Arial"/>
                <w:noProof/>
                <w:sz w:val="18"/>
                <w:szCs w:val="18"/>
              </w:rPr>
              <w:t>3.</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Evaluación y selección.</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_Toc132399437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12</w:t>
            </w:r>
            <w:r w:rsidR="003777B2" w:rsidRPr="003777B2">
              <w:rPr>
                <w:rFonts w:ascii="Arial" w:hAnsi="Arial" w:cs="Arial"/>
                <w:noProof/>
                <w:webHidden/>
                <w:sz w:val="18"/>
                <w:szCs w:val="18"/>
              </w:rPr>
              <w:fldChar w:fldCharType="end"/>
            </w:r>
          </w:hyperlink>
        </w:p>
        <w:p w14:paraId="6C845E8B" w14:textId="7027C212" w:rsidR="003777B2" w:rsidRPr="003777B2" w:rsidRDefault="00E2609E">
          <w:pPr>
            <w:pStyle w:val="TDC2"/>
            <w:rPr>
              <w:rFonts w:ascii="Arial" w:hAnsi="Arial" w:cs="Arial"/>
              <w:noProof/>
              <w:sz w:val="18"/>
              <w:szCs w:val="18"/>
              <w:lang w:val="es-419" w:eastAsia="es-419"/>
            </w:rPr>
          </w:pPr>
          <w:hyperlink w:anchor="_Toc132399438" w:history="1">
            <w:r w:rsidR="003777B2" w:rsidRPr="003777B2">
              <w:rPr>
                <w:rStyle w:val="Hipervnculo"/>
                <w:rFonts w:ascii="Arial" w:hAnsi="Arial" w:cs="Arial"/>
                <w:noProof/>
                <w:sz w:val="18"/>
                <w:szCs w:val="18"/>
              </w:rPr>
              <w:t>3.1.</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Admisibilidad de requisitos y evaluación técnica del proyecto.</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_Toc132399438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12</w:t>
            </w:r>
            <w:r w:rsidR="003777B2" w:rsidRPr="003777B2">
              <w:rPr>
                <w:rFonts w:ascii="Arial" w:hAnsi="Arial" w:cs="Arial"/>
                <w:noProof/>
                <w:webHidden/>
                <w:sz w:val="18"/>
                <w:szCs w:val="18"/>
              </w:rPr>
              <w:fldChar w:fldCharType="end"/>
            </w:r>
          </w:hyperlink>
        </w:p>
        <w:p w14:paraId="2D2BF24F" w14:textId="678FD6AC" w:rsidR="003777B2" w:rsidRPr="003777B2" w:rsidRDefault="00E2609E">
          <w:pPr>
            <w:pStyle w:val="TDC3"/>
            <w:rPr>
              <w:rFonts w:ascii="Arial" w:hAnsi="Arial" w:cs="Arial"/>
              <w:noProof/>
              <w:sz w:val="18"/>
              <w:szCs w:val="18"/>
              <w:lang w:val="es-419" w:eastAsia="es-419"/>
            </w:rPr>
          </w:pPr>
          <w:hyperlink w:anchor="_Toc132399439" w:history="1">
            <w:r w:rsidR="003777B2" w:rsidRPr="003777B2">
              <w:rPr>
                <w:rStyle w:val="Hipervnculo"/>
                <w:rFonts w:ascii="Arial" w:hAnsi="Arial" w:cs="Arial"/>
                <w:noProof/>
                <w:sz w:val="18"/>
                <w:szCs w:val="18"/>
              </w:rPr>
              <w:t>3.1.1.</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Evaluación de admisibilidad automática</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_Toc132399439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12</w:t>
            </w:r>
            <w:r w:rsidR="003777B2" w:rsidRPr="003777B2">
              <w:rPr>
                <w:rFonts w:ascii="Arial" w:hAnsi="Arial" w:cs="Arial"/>
                <w:noProof/>
                <w:webHidden/>
                <w:sz w:val="18"/>
                <w:szCs w:val="18"/>
              </w:rPr>
              <w:fldChar w:fldCharType="end"/>
            </w:r>
          </w:hyperlink>
        </w:p>
        <w:p w14:paraId="09FB8543" w14:textId="63A55015" w:rsidR="003777B2" w:rsidRPr="003777B2" w:rsidRDefault="00E2609E">
          <w:pPr>
            <w:pStyle w:val="TDC3"/>
            <w:rPr>
              <w:rFonts w:ascii="Arial" w:hAnsi="Arial" w:cs="Arial"/>
              <w:noProof/>
              <w:sz w:val="18"/>
              <w:szCs w:val="18"/>
              <w:lang w:val="es-419" w:eastAsia="es-419"/>
            </w:rPr>
          </w:pPr>
          <w:hyperlink w:anchor="_Toc132399440" w:history="1">
            <w:r w:rsidR="003777B2" w:rsidRPr="003777B2">
              <w:rPr>
                <w:rStyle w:val="Hipervnculo"/>
                <w:rFonts w:ascii="Arial" w:hAnsi="Arial" w:cs="Arial"/>
                <w:noProof/>
                <w:sz w:val="18"/>
                <w:szCs w:val="18"/>
              </w:rPr>
              <w:t>3.1.2.</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Evaluación de admisibilidad manual</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_Toc132399440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12</w:t>
            </w:r>
            <w:r w:rsidR="003777B2" w:rsidRPr="003777B2">
              <w:rPr>
                <w:rFonts w:ascii="Arial" w:hAnsi="Arial" w:cs="Arial"/>
                <w:noProof/>
                <w:webHidden/>
                <w:sz w:val="18"/>
                <w:szCs w:val="18"/>
              </w:rPr>
              <w:fldChar w:fldCharType="end"/>
            </w:r>
          </w:hyperlink>
        </w:p>
        <w:p w14:paraId="11341689" w14:textId="4C9AF29D" w:rsidR="003777B2" w:rsidRPr="003777B2" w:rsidRDefault="00E2609E">
          <w:pPr>
            <w:pStyle w:val="TDC3"/>
            <w:rPr>
              <w:rFonts w:ascii="Arial" w:hAnsi="Arial" w:cs="Arial"/>
              <w:noProof/>
              <w:sz w:val="18"/>
              <w:szCs w:val="18"/>
              <w:lang w:val="es-419" w:eastAsia="es-419"/>
            </w:rPr>
          </w:pPr>
          <w:hyperlink w:anchor="_Toc132399441" w:history="1">
            <w:r w:rsidR="003777B2" w:rsidRPr="003777B2">
              <w:rPr>
                <w:rStyle w:val="Hipervnculo"/>
                <w:rFonts w:ascii="Arial" w:hAnsi="Arial" w:cs="Arial"/>
                <w:noProof/>
                <w:sz w:val="18"/>
                <w:szCs w:val="18"/>
              </w:rPr>
              <w:t>3.1.3.</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Evaluación técnica del proyecto</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_Toc132399441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13</w:t>
            </w:r>
            <w:r w:rsidR="003777B2" w:rsidRPr="003777B2">
              <w:rPr>
                <w:rFonts w:ascii="Arial" w:hAnsi="Arial" w:cs="Arial"/>
                <w:noProof/>
                <w:webHidden/>
                <w:sz w:val="18"/>
                <w:szCs w:val="18"/>
              </w:rPr>
              <w:fldChar w:fldCharType="end"/>
            </w:r>
          </w:hyperlink>
        </w:p>
        <w:p w14:paraId="16514C48" w14:textId="765BE084" w:rsidR="003777B2" w:rsidRPr="003777B2" w:rsidRDefault="00E2609E">
          <w:pPr>
            <w:pStyle w:val="TDC2"/>
            <w:rPr>
              <w:rFonts w:ascii="Arial" w:hAnsi="Arial" w:cs="Arial"/>
              <w:noProof/>
              <w:sz w:val="18"/>
              <w:szCs w:val="18"/>
              <w:lang w:val="es-419" w:eastAsia="es-419"/>
            </w:rPr>
          </w:pPr>
          <w:hyperlink w:anchor="_Toc132399442" w:history="1">
            <w:r w:rsidR="003777B2" w:rsidRPr="003777B2">
              <w:rPr>
                <w:rStyle w:val="Hipervnculo"/>
                <w:rFonts w:ascii="Arial" w:hAnsi="Arial" w:cs="Arial"/>
                <w:noProof/>
                <w:sz w:val="18"/>
                <w:szCs w:val="18"/>
              </w:rPr>
              <w:t>3.2.</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Evaluación técnica en terreno</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_Toc132399442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13</w:t>
            </w:r>
            <w:r w:rsidR="003777B2" w:rsidRPr="003777B2">
              <w:rPr>
                <w:rFonts w:ascii="Arial" w:hAnsi="Arial" w:cs="Arial"/>
                <w:noProof/>
                <w:webHidden/>
                <w:sz w:val="18"/>
                <w:szCs w:val="18"/>
              </w:rPr>
              <w:fldChar w:fldCharType="end"/>
            </w:r>
          </w:hyperlink>
        </w:p>
        <w:p w14:paraId="47E816B6" w14:textId="37818905" w:rsidR="003777B2" w:rsidRPr="003777B2" w:rsidRDefault="00E2609E">
          <w:pPr>
            <w:pStyle w:val="TDC2"/>
            <w:rPr>
              <w:rFonts w:ascii="Arial" w:hAnsi="Arial" w:cs="Arial"/>
              <w:noProof/>
              <w:sz w:val="18"/>
              <w:szCs w:val="18"/>
              <w:lang w:val="es-419" w:eastAsia="es-419"/>
            </w:rPr>
          </w:pPr>
          <w:hyperlink w:anchor="_Toc132399443" w:history="1">
            <w:r w:rsidR="003777B2" w:rsidRPr="003777B2">
              <w:rPr>
                <w:rStyle w:val="Hipervnculo"/>
                <w:rFonts w:ascii="Arial" w:hAnsi="Arial" w:cs="Arial"/>
                <w:noProof/>
                <w:sz w:val="18"/>
                <w:szCs w:val="18"/>
              </w:rPr>
              <w:t>3.3.</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Evaluación y asignación de recursos del Comité de Evaluación Regional (CER)</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_Toc132399443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14</w:t>
            </w:r>
            <w:r w:rsidR="003777B2" w:rsidRPr="003777B2">
              <w:rPr>
                <w:rFonts w:ascii="Arial" w:hAnsi="Arial" w:cs="Arial"/>
                <w:noProof/>
                <w:webHidden/>
                <w:sz w:val="18"/>
                <w:szCs w:val="18"/>
              </w:rPr>
              <w:fldChar w:fldCharType="end"/>
            </w:r>
          </w:hyperlink>
        </w:p>
        <w:p w14:paraId="2DBC1292" w14:textId="5EBDA632" w:rsidR="003777B2" w:rsidRPr="003777B2" w:rsidRDefault="00E2609E">
          <w:pPr>
            <w:pStyle w:val="TDC1"/>
            <w:rPr>
              <w:rFonts w:ascii="Arial" w:hAnsi="Arial" w:cs="Arial"/>
              <w:noProof/>
              <w:sz w:val="18"/>
              <w:szCs w:val="18"/>
              <w:lang w:val="es-419" w:eastAsia="es-419"/>
            </w:rPr>
          </w:pPr>
          <w:hyperlink w:anchor="_Toc132399444" w:history="1">
            <w:r w:rsidR="003777B2" w:rsidRPr="003777B2">
              <w:rPr>
                <w:rStyle w:val="Hipervnculo"/>
                <w:rFonts w:ascii="Arial" w:hAnsi="Arial" w:cs="Arial"/>
                <w:noProof/>
                <w:sz w:val="18"/>
                <w:szCs w:val="18"/>
              </w:rPr>
              <w:t>4.</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Formalización</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_Toc132399444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16</w:t>
            </w:r>
            <w:r w:rsidR="003777B2" w:rsidRPr="003777B2">
              <w:rPr>
                <w:rFonts w:ascii="Arial" w:hAnsi="Arial" w:cs="Arial"/>
                <w:noProof/>
                <w:webHidden/>
                <w:sz w:val="18"/>
                <w:szCs w:val="18"/>
              </w:rPr>
              <w:fldChar w:fldCharType="end"/>
            </w:r>
          </w:hyperlink>
        </w:p>
        <w:p w14:paraId="23212556" w14:textId="3BA2103C" w:rsidR="003777B2" w:rsidRPr="003777B2" w:rsidRDefault="00E2609E">
          <w:pPr>
            <w:pStyle w:val="TDC2"/>
            <w:rPr>
              <w:rFonts w:ascii="Arial" w:hAnsi="Arial" w:cs="Arial"/>
              <w:noProof/>
              <w:sz w:val="18"/>
              <w:szCs w:val="18"/>
              <w:lang w:val="es-419" w:eastAsia="es-419"/>
            </w:rPr>
          </w:pPr>
          <w:hyperlink w:anchor="_Toc132399445" w:history="1">
            <w:r w:rsidR="003777B2" w:rsidRPr="003777B2">
              <w:rPr>
                <w:rStyle w:val="Hipervnculo"/>
                <w:rFonts w:ascii="Arial" w:hAnsi="Arial" w:cs="Arial"/>
                <w:noProof/>
                <w:sz w:val="18"/>
                <w:szCs w:val="18"/>
              </w:rPr>
              <w:t>4.1.</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Para la firma del contrato</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_Toc132399445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16</w:t>
            </w:r>
            <w:r w:rsidR="003777B2" w:rsidRPr="003777B2">
              <w:rPr>
                <w:rFonts w:ascii="Arial" w:hAnsi="Arial" w:cs="Arial"/>
                <w:noProof/>
                <w:webHidden/>
                <w:sz w:val="18"/>
                <w:szCs w:val="18"/>
              </w:rPr>
              <w:fldChar w:fldCharType="end"/>
            </w:r>
          </w:hyperlink>
        </w:p>
        <w:p w14:paraId="49A213DB" w14:textId="19C795F9" w:rsidR="003777B2" w:rsidRPr="003777B2" w:rsidRDefault="00E2609E">
          <w:pPr>
            <w:pStyle w:val="TDC2"/>
            <w:rPr>
              <w:rFonts w:ascii="Arial" w:hAnsi="Arial" w:cs="Arial"/>
              <w:noProof/>
              <w:sz w:val="18"/>
              <w:szCs w:val="18"/>
              <w:lang w:val="es-419" w:eastAsia="es-419"/>
            </w:rPr>
          </w:pPr>
          <w:hyperlink w:anchor="_Toc132399446" w:history="1">
            <w:r w:rsidR="003777B2" w:rsidRPr="003777B2">
              <w:rPr>
                <w:rStyle w:val="Hipervnculo"/>
                <w:rFonts w:ascii="Arial" w:hAnsi="Arial" w:cs="Arial"/>
                <w:noProof/>
                <w:sz w:val="18"/>
                <w:szCs w:val="18"/>
              </w:rPr>
              <w:t>5.</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Ejecución</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_Toc132399446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17</w:t>
            </w:r>
            <w:r w:rsidR="003777B2" w:rsidRPr="003777B2">
              <w:rPr>
                <w:rFonts w:ascii="Arial" w:hAnsi="Arial" w:cs="Arial"/>
                <w:noProof/>
                <w:webHidden/>
                <w:sz w:val="18"/>
                <w:szCs w:val="18"/>
              </w:rPr>
              <w:fldChar w:fldCharType="end"/>
            </w:r>
          </w:hyperlink>
        </w:p>
        <w:p w14:paraId="69E09A90" w14:textId="2D121903" w:rsidR="003777B2" w:rsidRPr="003777B2" w:rsidRDefault="00E2609E">
          <w:pPr>
            <w:pStyle w:val="TDC2"/>
            <w:rPr>
              <w:rFonts w:ascii="Arial" w:hAnsi="Arial" w:cs="Arial"/>
              <w:noProof/>
              <w:sz w:val="18"/>
              <w:szCs w:val="18"/>
              <w:lang w:val="es-419" w:eastAsia="es-419"/>
            </w:rPr>
          </w:pPr>
          <w:hyperlink w:anchor="_Toc132399447" w:history="1">
            <w:r w:rsidR="003777B2" w:rsidRPr="003777B2">
              <w:rPr>
                <w:rStyle w:val="Hipervnculo"/>
                <w:rFonts w:ascii="Arial" w:hAnsi="Arial" w:cs="Arial"/>
                <w:noProof/>
                <w:sz w:val="18"/>
                <w:szCs w:val="18"/>
              </w:rPr>
              <w:t>5.1</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Término anticipado del contrato</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_Toc132399447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19</w:t>
            </w:r>
            <w:r w:rsidR="003777B2" w:rsidRPr="003777B2">
              <w:rPr>
                <w:rFonts w:ascii="Arial" w:hAnsi="Arial" w:cs="Arial"/>
                <w:noProof/>
                <w:webHidden/>
                <w:sz w:val="18"/>
                <w:szCs w:val="18"/>
              </w:rPr>
              <w:fldChar w:fldCharType="end"/>
            </w:r>
          </w:hyperlink>
        </w:p>
        <w:p w14:paraId="689676A1" w14:textId="4C121A80" w:rsidR="003777B2" w:rsidRPr="003777B2" w:rsidRDefault="00E2609E">
          <w:pPr>
            <w:pStyle w:val="TDC2"/>
            <w:rPr>
              <w:rFonts w:ascii="Arial" w:hAnsi="Arial" w:cs="Arial"/>
              <w:noProof/>
              <w:sz w:val="18"/>
              <w:szCs w:val="18"/>
              <w:lang w:val="es-419" w:eastAsia="es-419"/>
            </w:rPr>
          </w:pPr>
          <w:hyperlink w:anchor="_Toc132399448" w:history="1">
            <w:r w:rsidR="003777B2" w:rsidRPr="003777B2">
              <w:rPr>
                <w:rStyle w:val="Hipervnculo"/>
                <w:rFonts w:ascii="Arial" w:hAnsi="Arial" w:cs="Arial"/>
                <w:noProof/>
                <w:sz w:val="18"/>
                <w:szCs w:val="18"/>
              </w:rPr>
              <w:t>5.2</w:t>
            </w:r>
            <w:r w:rsidR="003777B2" w:rsidRPr="003777B2">
              <w:rPr>
                <w:rFonts w:ascii="Arial" w:hAnsi="Arial" w:cs="Arial"/>
                <w:noProof/>
                <w:sz w:val="18"/>
                <w:szCs w:val="18"/>
                <w:lang w:val="es-419" w:eastAsia="es-419"/>
              </w:rPr>
              <w:tab/>
            </w:r>
            <w:r w:rsidR="003777B2" w:rsidRPr="003777B2">
              <w:rPr>
                <w:rStyle w:val="Hipervnculo"/>
                <w:rFonts w:ascii="Arial" w:hAnsi="Arial" w:cs="Arial"/>
                <w:noProof/>
                <w:sz w:val="18"/>
                <w:szCs w:val="18"/>
              </w:rPr>
              <w:t>Incumplimiento del Contrato (verificado con posterioridad a la vigencia del contrato).</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_Toc132399448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21</w:t>
            </w:r>
            <w:r w:rsidR="003777B2" w:rsidRPr="003777B2">
              <w:rPr>
                <w:rFonts w:ascii="Arial" w:hAnsi="Arial" w:cs="Arial"/>
                <w:noProof/>
                <w:webHidden/>
                <w:sz w:val="18"/>
                <w:szCs w:val="18"/>
              </w:rPr>
              <w:fldChar w:fldCharType="end"/>
            </w:r>
          </w:hyperlink>
        </w:p>
        <w:p w14:paraId="6F51E30A" w14:textId="32A040F0" w:rsidR="003777B2" w:rsidRPr="003777B2" w:rsidRDefault="00E2609E">
          <w:pPr>
            <w:pStyle w:val="TDC2"/>
            <w:rPr>
              <w:rFonts w:ascii="Arial" w:hAnsi="Arial" w:cs="Arial"/>
              <w:noProof/>
              <w:sz w:val="18"/>
              <w:szCs w:val="18"/>
              <w:lang w:val="es-419" w:eastAsia="es-419"/>
            </w:rPr>
          </w:pPr>
          <w:hyperlink w:anchor="_Toc132399449" w:history="1">
            <w:r w:rsidR="003777B2" w:rsidRPr="003777B2">
              <w:rPr>
                <w:rStyle w:val="Hipervnculo"/>
                <w:rFonts w:ascii="Arial" w:hAnsi="Arial" w:cs="Arial"/>
                <w:noProof/>
                <w:sz w:val="18"/>
                <w:szCs w:val="18"/>
              </w:rPr>
              <w:t>5.3 Otros</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_Toc132399449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22</w:t>
            </w:r>
            <w:r w:rsidR="003777B2" w:rsidRPr="003777B2">
              <w:rPr>
                <w:rFonts w:ascii="Arial" w:hAnsi="Arial" w:cs="Arial"/>
                <w:noProof/>
                <w:webHidden/>
                <w:sz w:val="18"/>
                <w:szCs w:val="18"/>
              </w:rPr>
              <w:fldChar w:fldCharType="end"/>
            </w:r>
          </w:hyperlink>
        </w:p>
        <w:p w14:paraId="337FEDB2" w14:textId="05F9B839" w:rsidR="003777B2" w:rsidRPr="003777B2" w:rsidRDefault="00E2609E">
          <w:pPr>
            <w:pStyle w:val="TDC1"/>
            <w:rPr>
              <w:rFonts w:ascii="Arial" w:hAnsi="Arial" w:cs="Arial"/>
              <w:noProof/>
              <w:sz w:val="18"/>
              <w:szCs w:val="18"/>
              <w:lang w:val="es-419" w:eastAsia="es-419"/>
            </w:rPr>
          </w:pPr>
          <w:hyperlink w:anchor="_Toc132399450" w:history="1">
            <w:r w:rsidR="003777B2" w:rsidRPr="003777B2">
              <w:rPr>
                <w:rStyle w:val="Hipervnculo"/>
                <w:rFonts w:ascii="Arial" w:hAnsi="Arial" w:cs="Arial"/>
                <w:noProof/>
                <w:sz w:val="18"/>
                <w:szCs w:val="18"/>
              </w:rPr>
              <w:t>ANEXO N° 1</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_Toc132399450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25</w:t>
            </w:r>
            <w:r w:rsidR="003777B2" w:rsidRPr="003777B2">
              <w:rPr>
                <w:rFonts w:ascii="Arial" w:hAnsi="Arial" w:cs="Arial"/>
                <w:noProof/>
                <w:webHidden/>
                <w:sz w:val="18"/>
                <w:szCs w:val="18"/>
              </w:rPr>
              <w:fldChar w:fldCharType="end"/>
            </w:r>
          </w:hyperlink>
        </w:p>
        <w:p w14:paraId="4DCE9144" w14:textId="710B022C" w:rsidR="003777B2" w:rsidRPr="003777B2" w:rsidRDefault="00E2609E">
          <w:pPr>
            <w:pStyle w:val="TDC1"/>
            <w:rPr>
              <w:rFonts w:ascii="Arial" w:hAnsi="Arial" w:cs="Arial"/>
              <w:noProof/>
              <w:sz w:val="18"/>
              <w:szCs w:val="18"/>
              <w:lang w:val="es-419" w:eastAsia="es-419"/>
            </w:rPr>
          </w:pPr>
          <w:hyperlink w:anchor="_Toc132399451" w:history="1">
            <w:r w:rsidR="003777B2" w:rsidRPr="003777B2">
              <w:rPr>
                <w:rStyle w:val="Hipervnculo"/>
                <w:rFonts w:ascii="Arial" w:hAnsi="Arial" w:cs="Arial"/>
                <w:noProof/>
                <w:sz w:val="18"/>
                <w:szCs w:val="18"/>
              </w:rPr>
              <w:t>ANEXO N° 2.B</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_Toc132399451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32</w:t>
            </w:r>
            <w:r w:rsidR="003777B2" w:rsidRPr="003777B2">
              <w:rPr>
                <w:rFonts w:ascii="Arial" w:hAnsi="Arial" w:cs="Arial"/>
                <w:noProof/>
                <w:webHidden/>
                <w:sz w:val="18"/>
                <w:szCs w:val="18"/>
              </w:rPr>
              <w:fldChar w:fldCharType="end"/>
            </w:r>
          </w:hyperlink>
        </w:p>
        <w:p w14:paraId="08A7C21C" w14:textId="3773E91F" w:rsidR="003777B2" w:rsidRPr="003777B2" w:rsidRDefault="00E2609E">
          <w:pPr>
            <w:pStyle w:val="TDC1"/>
            <w:rPr>
              <w:rFonts w:ascii="Arial" w:hAnsi="Arial" w:cs="Arial"/>
              <w:noProof/>
              <w:sz w:val="18"/>
              <w:szCs w:val="18"/>
              <w:lang w:val="es-419" w:eastAsia="es-419"/>
            </w:rPr>
          </w:pPr>
          <w:hyperlink w:anchor="_Toc132399452" w:history="1">
            <w:r w:rsidR="003777B2" w:rsidRPr="003777B2">
              <w:rPr>
                <w:rStyle w:val="Hipervnculo"/>
                <w:rFonts w:ascii="Arial" w:hAnsi="Arial" w:cs="Arial"/>
                <w:noProof/>
                <w:sz w:val="18"/>
                <w:szCs w:val="18"/>
              </w:rPr>
              <w:t>ANEXO N° 2.C</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_Toc132399452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33</w:t>
            </w:r>
            <w:r w:rsidR="003777B2" w:rsidRPr="003777B2">
              <w:rPr>
                <w:rFonts w:ascii="Arial" w:hAnsi="Arial" w:cs="Arial"/>
                <w:noProof/>
                <w:webHidden/>
                <w:sz w:val="18"/>
                <w:szCs w:val="18"/>
              </w:rPr>
              <w:fldChar w:fldCharType="end"/>
            </w:r>
          </w:hyperlink>
        </w:p>
        <w:p w14:paraId="26CE6EEF" w14:textId="79B214A1" w:rsidR="003777B2" w:rsidRPr="003777B2" w:rsidRDefault="00E2609E">
          <w:pPr>
            <w:pStyle w:val="TDC1"/>
            <w:rPr>
              <w:rFonts w:ascii="Arial" w:hAnsi="Arial" w:cs="Arial"/>
              <w:noProof/>
              <w:sz w:val="18"/>
              <w:szCs w:val="18"/>
              <w:lang w:val="es-419" w:eastAsia="es-419"/>
            </w:rPr>
          </w:pPr>
          <w:hyperlink w:anchor="_Toc132399453" w:history="1">
            <w:r w:rsidR="003777B2" w:rsidRPr="003777B2">
              <w:rPr>
                <w:rStyle w:val="Hipervnculo"/>
                <w:rFonts w:ascii="Arial" w:hAnsi="Arial" w:cs="Arial"/>
                <w:noProof/>
                <w:sz w:val="18"/>
                <w:szCs w:val="18"/>
              </w:rPr>
              <w:t>ANEXO N°3.A</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_Toc132399453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34</w:t>
            </w:r>
            <w:r w:rsidR="003777B2" w:rsidRPr="003777B2">
              <w:rPr>
                <w:rFonts w:ascii="Arial" w:hAnsi="Arial" w:cs="Arial"/>
                <w:noProof/>
                <w:webHidden/>
                <w:sz w:val="18"/>
                <w:szCs w:val="18"/>
              </w:rPr>
              <w:fldChar w:fldCharType="end"/>
            </w:r>
          </w:hyperlink>
        </w:p>
        <w:p w14:paraId="58829A98" w14:textId="68F18EF7" w:rsidR="003777B2" w:rsidRPr="003777B2" w:rsidRDefault="00E2609E">
          <w:pPr>
            <w:pStyle w:val="TDC1"/>
            <w:rPr>
              <w:rFonts w:ascii="Arial" w:hAnsi="Arial" w:cs="Arial"/>
              <w:noProof/>
              <w:sz w:val="18"/>
              <w:szCs w:val="18"/>
              <w:lang w:val="es-419" w:eastAsia="es-419"/>
            </w:rPr>
          </w:pPr>
          <w:hyperlink w:anchor="_Toc132399454" w:history="1">
            <w:r w:rsidR="003777B2" w:rsidRPr="003777B2">
              <w:rPr>
                <w:rStyle w:val="Hipervnculo"/>
                <w:rFonts w:ascii="Arial" w:hAnsi="Arial" w:cs="Arial"/>
                <w:noProof/>
                <w:sz w:val="18"/>
                <w:szCs w:val="18"/>
              </w:rPr>
              <w:t>ANEXO N°3.B</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_Toc132399454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35</w:t>
            </w:r>
            <w:r w:rsidR="003777B2" w:rsidRPr="003777B2">
              <w:rPr>
                <w:rFonts w:ascii="Arial" w:hAnsi="Arial" w:cs="Arial"/>
                <w:noProof/>
                <w:webHidden/>
                <w:sz w:val="18"/>
                <w:szCs w:val="18"/>
              </w:rPr>
              <w:fldChar w:fldCharType="end"/>
            </w:r>
          </w:hyperlink>
        </w:p>
        <w:p w14:paraId="257195E8" w14:textId="118C4E34" w:rsidR="003777B2" w:rsidRPr="003777B2" w:rsidRDefault="00E2609E">
          <w:pPr>
            <w:pStyle w:val="TDC1"/>
            <w:rPr>
              <w:rFonts w:ascii="Arial" w:hAnsi="Arial" w:cs="Arial"/>
              <w:noProof/>
              <w:sz w:val="18"/>
              <w:szCs w:val="18"/>
              <w:lang w:val="es-419" w:eastAsia="es-419"/>
            </w:rPr>
          </w:pPr>
          <w:hyperlink w:anchor="_Toc132399455" w:history="1">
            <w:r w:rsidR="003777B2" w:rsidRPr="003777B2">
              <w:rPr>
                <w:rStyle w:val="Hipervnculo"/>
                <w:rFonts w:ascii="Arial" w:hAnsi="Arial" w:cs="Arial"/>
                <w:noProof/>
                <w:sz w:val="18"/>
                <w:szCs w:val="18"/>
              </w:rPr>
              <w:t>ANEXO N°3.C</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_Toc132399455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36</w:t>
            </w:r>
            <w:r w:rsidR="003777B2" w:rsidRPr="003777B2">
              <w:rPr>
                <w:rFonts w:ascii="Arial" w:hAnsi="Arial" w:cs="Arial"/>
                <w:noProof/>
                <w:webHidden/>
                <w:sz w:val="18"/>
                <w:szCs w:val="18"/>
              </w:rPr>
              <w:fldChar w:fldCharType="end"/>
            </w:r>
          </w:hyperlink>
        </w:p>
        <w:p w14:paraId="1190B336" w14:textId="0D756F80" w:rsidR="003777B2" w:rsidRPr="003777B2" w:rsidRDefault="00E2609E">
          <w:pPr>
            <w:pStyle w:val="TDC1"/>
            <w:rPr>
              <w:rFonts w:ascii="Arial" w:hAnsi="Arial" w:cs="Arial"/>
              <w:noProof/>
              <w:sz w:val="18"/>
              <w:szCs w:val="18"/>
              <w:lang w:val="es-419" w:eastAsia="es-419"/>
            </w:rPr>
          </w:pPr>
          <w:hyperlink w:anchor="_Toc132399456" w:history="1">
            <w:r w:rsidR="003777B2" w:rsidRPr="003777B2">
              <w:rPr>
                <w:rStyle w:val="Hipervnculo"/>
                <w:rFonts w:ascii="Arial" w:hAnsi="Arial" w:cs="Arial"/>
                <w:noProof/>
                <w:sz w:val="18"/>
                <w:szCs w:val="18"/>
              </w:rPr>
              <w:t>ANEXO N°4</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_Toc132399456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37</w:t>
            </w:r>
            <w:r w:rsidR="003777B2" w:rsidRPr="003777B2">
              <w:rPr>
                <w:rFonts w:ascii="Arial" w:hAnsi="Arial" w:cs="Arial"/>
                <w:noProof/>
                <w:webHidden/>
                <w:sz w:val="18"/>
                <w:szCs w:val="18"/>
              </w:rPr>
              <w:fldChar w:fldCharType="end"/>
            </w:r>
          </w:hyperlink>
        </w:p>
        <w:p w14:paraId="7737CE7E" w14:textId="48FD6DD7" w:rsidR="003777B2" w:rsidRPr="003777B2" w:rsidRDefault="00E2609E">
          <w:pPr>
            <w:pStyle w:val="TDC1"/>
            <w:rPr>
              <w:rFonts w:ascii="Arial" w:hAnsi="Arial" w:cs="Arial"/>
              <w:noProof/>
              <w:sz w:val="18"/>
              <w:szCs w:val="18"/>
              <w:lang w:val="es-419" w:eastAsia="es-419"/>
            </w:rPr>
          </w:pPr>
          <w:hyperlink w:anchor="_Toc132399457" w:history="1">
            <w:r w:rsidR="003777B2" w:rsidRPr="003777B2">
              <w:rPr>
                <w:rStyle w:val="Hipervnculo"/>
                <w:rFonts w:ascii="Arial" w:hAnsi="Arial" w:cs="Arial"/>
                <w:noProof/>
                <w:sz w:val="18"/>
                <w:szCs w:val="18"/>
              </w:rPr>
              <w:t>ANEXO N°5</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_Toc132399457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38</w:t>
            </w:r>
            <w:r w:rsidR="003777B2" w:rsidRPr="003777B2">
              <w:rPr>
                <w:rFonts w:ascii="Arial" w:hAnsi="Arial" w:cs="Arial"/>
                <w:noProof/>
                <w:webHidden/>
                <w:sz w:val="18"/>
                <w:szCs w:val="18"/>
              </w:rPr>
              <w:fldChar w:fldCharType="end"/>
            </w:r>
          </w:hyperlink>
        </w:p>
        <w:p w14:paraId="32F9BA99" w14:textId="6997B468" w:rsidR="003777B2" w:rsidRPr="003777B2" w:rsidRDefault="00E2609E">
          <w:pPr>
            <w:pStyle w:val="TDC1"/>
            <w:rPr>
              <w:rFonts w:ascii="Arial" w:hAnsi="Arial" w:cs="Arial"/>
              <w:noProof/>
              <w:sz w:val="18"/>
              <w:szCs w:val="18"/>
              <w:lang w:val="es-419" w:eastAsia="es-419"/>
            </w:rPr>
          </w:pPr>
          <w:hyperlink w:anchor="_Toc132399458" w:history="1">
            <w:r w:rsidR="003777B2" w:rsidRPr="003777B2">
              <w:rPr>
                <w:rStyle w:val="Hipervnculo"/>
                <w:rFonts w:ascii="Arial" w:hAnsi="Arial" w:cs="Arial"/>
                <w:noProof/>
                <w:sz w:val="18"/>
                <w:szCs w:val="18"/>
              </w:rPr>
              <w:t>ANEXO N° 6</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_Toc132399458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44</w:t>
            </w:r>
            <w:r w:rsidR="003777B2" w:rsidRPr="003777B2">
              <w:rPr>
                <w:rFonts w:ascii="Arial" w:hAnsi="Arial" w:cs="Arial"/>
                <w:noProof/>
                <w:webHidden/>
                <w:sz w:val="18"/>
                <w:szCs w:val="18"/>
              </w:rPr>
              <w:fldChar w:fldCharType="end"/>
            </w:r>
          </w:hyperlink>
        </w:p>
        <w:p w14:paraId="31785F1E" w14:textId="655FD97A" w:rsidR="003777B2" w:rsidRPr="003777B2" w:rsidRDefault="00E2609E">
          <w:pPr>
            <w:pStyle w:val="TDC1"/>
            <w:rPr>
              <w:rFonts w:ascii="Arial" w:hAnsi="Arial" w:cs="Arial"/>
              <w:noProof/>
              <w:sz w:val="18"/>
              <w:szCs w:val="18"/>
              <w:lang w:val="es-419" w:eastAsia="es-419"/>
            </w:rPr>
          </w:pPr>
          <w:hyperlink w:anchor="_Toc132399459" w:history="1">
            <w:r w:rsidR="003777B2" w:rsidRPr="003777B2">
              <w:rPr>
                <w:rStyle w:val="Hipervnculo"/>
                <w:rFonts w:ascii="Arial" w:hAnsi="Arial" w:cs="Arial"/>
                <w:noProof/>
                <w:sz w:val="18"/>
                <w:szCs w:val="18"/>
              </w:rPr>
              <w:t>ANEXO N° 7</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_Toc132399459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46</w:t>
            </w:r>
            <w:r w:rsidR="003777B2" w:rsidRPr="003777B2">
              <w:rPr>
                <w:rFonts w:ascii="Arial" w:hAnsi="Arial" w:cs="Arial"/>
                <w:noProof/>
                <w:webHidden/>
                <w:sz w:val="18"/>
                <w:szCs w:val="18"/>
              </w:rPr>
              <w:fldChar w:fldCharType="end"/>
            </w:r>
          </w:hyperlink>
        </w:p>
        <w:p w14:paraId="71E5CC13" w14:textId="5AB60598" w:rsidR="003777B2" w:rsidRPr="003777B2" w:rsidRDefault="00E2609E">
          <w:pPr>
            <w:pStyle w:val="TDC1"/>
            <w:rPr>
              <w:rFonts w:ascii="Arial" w:hAnsi="Arial" w:cs="Arial"/>
              <w:noProof/>
              <w:sz w:val="18"/>
              <w:szCs w:val="18"/>
              <w:lang w:val="es-419" w:eastAsia="es-419"/>
            </w:rPr>
          </w:pPr>
          <w:hyperlink w:anchor="_Toc132399460" w:history="1">
            <w:r w:rsidR="003777B2" w:rsidRPr="003777B2">
              <w:rPr>
                <w:rStyle w:val="Hipervnculo"/>
                <w:rFonts w:ascii="Arial" w:hAnsi="Arial" w:cs="Arial"/>
                <w:noProof/>
                <w:sz w:val="18"/>
                <w:szCs w:val="18"/>
              </w:rPr>
              <w:t>ANEXO N° 8</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_Toc132399460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49</w:t>
            </w:r>
            <w:r w:rsidR="003777B2" w:rsidRPr="003777B2">
              <w:rPr>
                <w:rFonts w:ascii="Arial" w:hAnsi="Arial" w:cs="Arial"/>
                <w:noProof/>
                <w:webHidden/>
                <w:sz w:val="18"/>
                <w:szCs w:val="18"/>
              </w:rPr>
              <w:fldChar w:fldCharType="end"/>
            </w:r>
          </w:hyperlink>
        </w:p>
        <w:p w14:paraId="17D2EE5D" w14:textId="192D9C58" w:rsidR="003777B2" w:rsidRPr="003777B2" w:rsidRDefault="00E2609E">
          <w:pPr>
            <w:pStyle w:val="TDC1"/>
            <w:rPr>
              <w:rFonts w:ascii="Arial" w:hAnsi="Arial" w:cs="Arial"/>
              <w:noProof/>
              <w:sz w:val="18"/>
              <w:szCs w:val="18"/>
              <w:lang w:val="es-419" w:eastAsia="es-419"/>
            </w:rPr>
          </w:pPr>
          <w:hyperlink w:anchor="_Toc132399461" w:history="1">
            <w:r w:rsidR="003777B2" w:rsidRPr="003777B2">
              <w:rPr>
                <w:rStyle w:val="Hipervnculo"/>
                <w:rFonts w:ascii="Arial" w:hAnsi="Arial" w:cs="Arial"/>
                <w:noProof/>
                <w:sz w:val="18"/>
                <w:szCs w:val="18"/>
                <w:lang w:val="es-ES"/>
              </w:rPr>
              <w:t>ANEXO N° 9</w:t>
            </w:r>
            <w:r w:rsidR="003777B2" w:rsidRPr="003777B2">
              <w:rPr>
                <w:rFonts w:ascii="Arial" w:hAnsi="Arial" w:cs="Arial"/>
                <w:noProof/>
                <w:webHidden/>
                <w:sz w:val="18"/>
                <w:szCs w:val="18"/>
              </w:rPr>
              <w:tab/>
            </w:r>
            <w:r w:rsidR="003777B2" w:rsidRPr="003777B2">
              <w:rPr>
                <w:rFonts w:ascii="Arial" w:hAnsi="Arial" w:cs="Arial"/>
                <w:noProof/>
                <w:webHidden/>
                <w:sz w:val="18"/>
                <w:szCs w:val="18"/>
              </w:rPr>
              <w:fldChar w:fldCharType="begin"/>
            </w:r>
            <w:r w:rsidR="003777B2" w:rsidRPr="003777B2">
              <w:rPr>
                <w:rFonts w:ascii="Arial" w:hAnsi="Arial" w:cs="Arial"/>
                <w:noProof/>
                <w:webHidden/>
                <w:sz w:val="18"/>
                <w:szCs w:val="18"/>
              </w:rPr>
              <w:instrText xml:space="preserve"> PAGEREF _Toc132399461 \h </w:instrText>
            </w:r>
            <w:r w:rsidR="003777B2" w:rsidRPr="003777B2">
              <w:rPr>
                <w:rFonts w:ascii="Arial" w:hAnsi="Arial" w:cs="Arial"/>
                <w:noProof/>
                <w:webHidden/>
                <w:sz w:val="18"/>
                <w:szCs w:val="18"/>
              </w:rPr>
            </w:r>
            <w:r w:rsidR="003777B2" w:rsidRPr="003777B2">
              <w:rPr>
                <w:rFonts w:ascii="Arial" w:hAnsi="Arial" w:cs="Arial"/>
                <w:noProof/>
                <w:webHidden/>
                <w:sz w:val="18"/>
                <w:szCs w:val="18"/>
              </w:rPr>
              <w:fldChar w:fldCharType="separate"/>
            </w:r>
            <w:r w:rsidR="00547D8D">
              <w:rPr>
                <w:rFonts w:ascii="Arial" w:hAnsi="Arial" w:cs="Arial"/>
                <w:noProof/>
                <w:webHidden/>
                <w:sz w:val="18"/>
                <w:szCs w:val="18"/>
              </w:rPr>
              <w:t>51</w:t>
            </w:r>
            <w:r w:rsidR="003777B2" w:rsidRPr="003777B2">
              <w:rPr>
                <w:rFonts w:ascii="Arial" w:hAnsi="Arial" w:cs="Arial"/>
                <w:noProof/>
                <w:webHidden/>
                <w:sz w:val="18"/>
                <w:szCs w:val="18"/>
              </w:rPr>
              <w:fldChar w:fldCharType="end"/>
            </w:r>
          </w:hyperlink>
        </w:p>
        <w:p w14:paraId="02F12013" w14:textId="780F3935" w:rsidR="00C50442" w:rsidRPr="003777B2" w:rsidRDefault="00583D46" w:rsidP="00CB7681">
          <w:pPr>
            <w:rPr>
              <w:rFonts w:ascii="Arial" w:hAnsi="Arial" w:cs="Arial"/>
              <w:b/>
              <w:bCs/>
              <w:sz w:val="18"/>
              <w:szCs w:val="18"/>
              <w:lang w:val="es-ES"/>
            </w:rPr>
          </w:pPr>
          <w:r w:rsidRPr="003777B2">
            <w:rPr>
              <w:rFonts w:ascii="Arial" w:hAnsi="Arial" w:cs="Arial"/>
              <w:b/>
              <w:bCs/>
              <w:sz w:val="18"/>
              <w:szCs w:val="18"/>
              <w:lang w:val="es-ES"/>
            </w:rPr>
            <w:fldChar w:fldCharType="end"/>
          </w:r>
        </w:p>
        <w:p w14:paraId="5F5D9415" w14:textId="4ED2AAD9" w:rsidR="00C05310" w:rsidRPr="008C4570" w:rsidRDefault="00E2609E"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399424"/>
      <w:bookmarkEnd w:id="0"/>
      <w:r w:rsidRPr="008C4570">
        <w:rPr>
          <w:rFonts w:ascii="Arial" w:hAnsi="Arial" w:cs="Arial"/>
          <w:sz w:val="22"/>
        </w:rPr>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399425"/>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399426"/>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35AAF10F"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547D8D" w:rsidRPr="00547D8D">
        <w:rPr>
          <w:rFonts w:ascii="Arial" w:eastAsia="gobCL" w:hAnsi="Arial" w:cs="Arial"/>
          <w:color w:val="000000"/>
        </w:rPr>
        <w:t xml:space="preserve">no itinerantes </w:t>
      </w:r>
      <w:bookmarkStart w:id="6" w:name="_GoBack"/>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lastRenderedPageBreak/>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399427"/>
      <w:r w:rsidRPr="00172B8B">
        <w:lastRenderedPageBreak/>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399428"/>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1AA21D45" w14:textId="77777777" w:rsidR="00D87237" w:rsidRDefault="008B2846" w:rsidP="00D87237">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00C373A" w14:textId="764D8246" w:rsidR="00D87237" w:rsidRPr="00D87237" w:rsidRDefault="00D87237" w:rsidP="00D87237">
      <w:pPr>
        <w:numPr>
          <w:ilvl w:val="0"/>
          <w:numId w:val="21"/>
        </w:numPr>
        <w:spacing w:after="0" w:line="240" w:lineRule="auto"/>
        <w:jc w:val="both"/>
        <w:rPr>
          <w:rFonts w:ascii="Arial" w:eastAsia="gobCL" w:hAnsi="Arial" w:cs="Arial"/>
          <w:color w:val="000000"/>
        </w:rPr>
      </w:pPr>
      <w:r w:rsidRPr="00D87237">
        <w:rPr>
          <w:rFonts w:ascii="Arial" w:eastAsia="gobCL" w:hAnsi="Arial" w:cs="Arial"/>
          <w:color w:val="000000"/>
        </w:rPr>
        <w:t xml:space="preserve">Contar con una empresa registrada en la Provincia de </w:t>
      </w:r>
      <w:r>
        <w:rPr>
          <w:rFonts w:ascii="Arial" w:eastAsia="gobCL" w:hAnsi="Arial" w:cs="Arial"/>
          <w:color w:val="000000"/>
        </w:rPr>
        <w:t>Tamarugal</w:t>
      </w:r>
      <w:r w:rsidRPr="00D87237">
        <w:rPr>
          <w:rFonts w:ascii="Arial" w:eastAsia="gobCL" w:hAnsi="Arial" w:cs="Arial"/>
          <w:color w:val="000000"/>
        </w:rPr>
        <w:t xml:space="preserve"> (Huara, Camiña, Colchane, Pozo Almonte y Pica</w:t>
      </w:r>
      <w:r>
        <w:rPr>
          <w:rFonts w:ascii="Arial" w:eastAsia="gobCL" w:hAnsi="Arial" w:cs="Arial"/>
          <w:color w:val="000000"/>
        </w:rPr>
        <w:t xml:space="preserve">) </w:t>
      </w:r>
      <w:r w:rsidRPr="00D87237">
        <w:rPr>
          <w:rFonts w:ascii="Arial" w:eastAsia="gobCL" w:hAnsi="Arial" w:cs="Arial"/>
          <w:color w:val="000000"/>
        </w:rPr>
        <w:t>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9" w:name="_Toc132399429"/>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lastRenderedPageBreak/>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16FE2DA8" w14:textId="77777777" w:rsidR="00D87237" w:rsidRDefault="00282725" w:rsidP="00D87237">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bookmarkStart w:id="10" w:name="_Toc132399430"/>
    </w:p>
    <w:p w14:paraId="1EBCEFEF" w14:textId="77777777" w:rsidR="00D87237" w:rsidRPr="00D87237" w:rsidRDefault="00D87237" w:rsidP="00D87237">
      <w:pPr>
        <w:pStyle w:val="Prrafodelista"/>
        <w:rPr>
          <w:rFonts w:ascii="Arial" w:eastAsia="gobCL" w:hAnsi="Arial" w:cs="Arial"/>
          <w:color w:val="000000"/>
        </w:rPr>
      </w:pPr>
    </w:p>
    <w:p w14:paraId="574C415F" w14:textId="3DACD1B9" w:rsidR="00D87237" w:rsidRPr="00D87237" w:rsidRDefault="00D87237" w:rsidP="00D87237">
      <w:pPr>
        <w:pStyle w:val="Prrafodelista"/>
        <w:numPr>
          <w:ilvl w:val="0"/>
          <w:numId w:val="48"/>
        </w:numPr>
        <w:spacing w:after="0" w:line="240" w:lineRule="auto"/>
        <w:jc w:val="both"/>
        <w:rPr>
          <w:rFonts w:ascii="Arial" w:eastAsia="gobCL" w:hAnsi="Arial" w:cs="Arial"/>
          <w:color w:val="000000"/>
        </w:rPr>
      </w:pPr>
      <w:r w:rsidRPr="00D87237">
        <w:rPr>
          <w:rFonts w:ascii="Arial" w:eastAsia="gobCL" w:hAnsi="Arial" w:cs="Arial"/>
          <w:color w:val="000000"/>
        </w:rPr>
        <w:t xml:space="preserve">Tener domicilio comercial registrado en SII en la Provincia de </w:t>
      </w:r>
      <w:r>
        <w:rPr>
          <w:rFonts w:ascii="Arial" w:eastAsia="gobCL" w:hAnsi="Arial" w:cs="Arial"/>
          <w:color w:val="000000"/>
        </w:rPr>
        <w:t>Tamarugal</w:t>
      </w:r>
      <w:r w:rsidRPr="00D87237">
        <w:rPr>
          <w:rFonts w:ascii="Arial" w:eastAsia="gobCL" w:hAnsi="Arial" w:cs="Arial"/>
          <w:color w:val="000000"/>
        </w:rPr>
        <w:t xml:space="preserve"> (Huara, Camiña, Colchane, Pozo Almonte y Pica) de la Región de Tarapacá.</w:t>
      </w:r>
    </w:p>
    <w:p w14:paraId="31369CD3" w14:textId="1FE83A62" w:rsidR="0020514E" w:rsidRPr="008C4570" w:rsidRDefault="009127FB" w:rsidP="0063517E">
      <w:pPr>
        <w:pStyle w:val="Ttulo3"/>
        <w:numPr>
          <w:ilvl w:val="2"/>
          <w:numId w:val="32"/>
        </w:numPr>
        <w:rPr>
          <w:rFonts w:ascii="Arial" w:hAnsi="Arial" w:cs="Arial"/>
          <w:szCs w:val="22"/>
        </w:rPr>
      </w:pPr>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399431"/>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w:t>
      </w:r>
      <w:r w:rsidRPr="008C4570">
        <w:rPr>
          <w:rFonts w:ascii="Arial" w:eastAsia="gobCL" w:hAnsi="Arial" w:cs="Arial"/>
        </w:rPr>
        <w:lastRenderedPageBreak/>
        <w:t>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399432"/>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tbl>
      <w:tblPr>
        <w:tblStyle w:val="37"/>
        <w:tblW w:w="7796" w:type="dxa"/>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3777B2" w:rsidRPr="007C5A3A" w14:paraId="1A2DDF21" w14:textId="77777777" w:rsidTr="003777B2">
        <w:trPr>
          <w:trHeight w:val="260"/>
        </w:trPr>
        <w:tc>
          <w:tcPr>
            <w:tcW w:w="2268" w:type="dxa"/>
            <w:shd w:val="clear" w:color="auto" w:fill="EEECE1"/>
          </w:tcPr>
          <w:p w14:paraId="26A07B7B" w14:textId="77777777" w:rsidR="003777B2" w:rsidRPr="007C5A3A" w:rsidRDefault="003777B2" w:rsidP="00C413AE">
            <w:pPr>
              <w:spacing w:after="0" w:line="240" w:lineRule="auto"/>
              <w:jc w:val="center"/>
              <w:rPr>
                <w:rFonts w:ascii="Arial" w:eastAsia="gobCL" w:hAnsi="Arial" w:cs="Arial"/>
                <w:b/>
                <w:color w:val="000000"/>
              </w:rPr>
            </w:pPr>
            <w:r w:rsidRPr="007C5A3A">
              <w:rPr>
                <w:rFonts w:ascii="Arial" w:eastAsia="gobCL" w:hAnsi="Arial" w:cs="Arial"/>
                <w:b/>
                <w:color w:val="000000"/>
              </w:rPr>
              <w:lastRenderedPageBreak/>
              <w:t>Ámbito</w:t>
            </w:r>
          </w:p>
        </w:tc>
        <w:tc>
          <w:tcPr>
            <w:tcW w:w="3685" w:type="dxa"/>
            <w:shd w:val="clear" w:color="auto" w:fill="EEECE1"/>
          </w:tcPr>
          <w:p w14:paraId="75ADEE01" w14:textId="77777777" w:rsidR="003777B2" w:rsidRPr="007C5A3A" w:rsidRDefault="003777B2"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2C9091C7" w14:textId="77777777" w:rsidR="003777B2" w:rsidRPr="007C5A3A" w:rsidRDefault="003777B2" w:rsidP="00C413AE">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843" w:type="dxa"/>
            <w:shd w:val="clear" w:color="auto" w:fill="EEECE1"/>
          </w:tcPr>
          <w:p w14:paraId="41354B0C" w14:textId="77777777" w:rsidR="003777B2" w:rsidRPr="007C5A3A" w:rsidRDefault="003777B2"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348CD756" w14:textId="77777777" w:rsidR="003777B2" w:rsidRPr="007C5A3A" w:rsidRDefault="003777B2"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3777B2" w:rsidRPr="007C5A3A" w14:paraId="440CA671" w14:textId="77777777" w:rsidTr="003777B2">
        <w:trPr>
          <w:trHeight w:val="440"/>
        </w:trPr>
        <w:tc>
          <w:tcPr>
            <w:tcW w:w="2268" w:type="dxa"/>
            <w:shd w:val="clear" w:color="auto" w:fill="auto"/>
            <w:vAlign w:val="center"/>
          </w:tcPr>
          <w:p w14:paraId="6CD5A324" w14:textId="77777777" w:rsidR="003777B2" w:rsidRPr="007C5A3A" w:rsidRDefault="003777B2" w:rsidP="00C413AE">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5AE09815" w14:textId="77777777" w:rsidR="003777B2" w:rsidRPr="007C5A3A" w:rsidRDefault="003777B2" w:rsidP="00C413AE">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685" w:type="dxa"/>
            <w:shd w:val="clear" w:color="auto" w:fill="auto"/>
            <w:vAlign w:val="center"/>
          </w:tcPr>
          <w:p w14:paraId="75374F24" w14:textId="77777777" w:rsidR="003777B2" w:rsidRPr="007C5A3A" w:rsidRDefault="003777B2" w:rsidP="00C413AE">
            <w:pPr>
              <w:spacing w:after="0" w:line="240" w:lineRule="auto"/>
              <w:jc w:val="center"/>
              <w:rPr>
                <w:rFonts w:ascii="Arial" w:eastAsia="gobCL" w:hAnsi="Arial" w:cs="Arial"/>
                <w:color w:val="000000"/>
              </w:rPr>
            </w:pPr>
            <w:r w:rsidRPr="007C5A3A">
              <w:rPr>
                <w:rFonts w:ascii="Arial" w:eastAsia="gobCL" w:hAnsi="Arial" w:cs="Arial"/>
                <w:color w:val="000000"/>
              </w:rPr>
              <w:t>$350.000</w:t>
            </w:r>
          </w:p>
          <w:p w14:paraId="65E41F66" w14:textId="77777777" w:rsidR="003777B2" w:rsidRPr="007C5A3A" w:rsidRDefault="003777B2" w:rsidP="00C413AE">
            <w:pPr>
              <w:spacing w:after="0" w:line="240" w:lineRule="auto"/>
              <w:jc w:val="center"/>
              <w:rPr>
                <w:rFonts w:ascii="Arial" w:eastAsia="gobCL" w:hAnsi="Arial" w:cs="Arial"/>
                <w:color w:val="000000"/>
              </w:rPr>
            </w:pPr>
            <w:r w:rsidRPr="007C5A3A">
              <w:rPr>
                <w:rFonts w:ascii="Arial" w:eastAsia="gobCL" w:hAnsi="Arial" w:cs="Arial"/>
                <w:color w:val="000000"/>
              </w:rPr>
              <w:t>(trescientos cincuenta mil pesos)</w:t>
            </w:r>
          </w:p>
        </w:tc>
        <w:tc>
          <w:tcPr>
            <w:tcW w:w="1843" w:type="dxa"/>
            <w:vMerge w:val="restart"/>
            <w:shd w:val="clear" w:color="auto" w:fill="auto"/>
          </w:tcPr>
          <w:p w14:paraId="7B9567B0" w14:textId="77777777" w:rsidR="003777B2" w:rsidRDefault="003777B2" w:rsidP="00C413AE">
            <w:pPr>
              <w:spacing w:after="0" w:line="240" w:lineRule="auto"/>
              <w:jc w:val="both"/>
              <w:rPr>
                <w:rFonts w:ascii="Arial" w:eastAsia="gobCL" w:hAnsi="Arial" w:cs="Arial"/>
                <w:b/>
                <w:color w:val="000000"/>
                <w:highlight w:val="yellow"/>
              </w:rPr>
            </w:pPr>
          </w:p>
          <w:p w14:paraId="2DB7D0C3" w14:textId="77777777" w:rsidR="003777B2" w:rsidRDefault="003777B2" w:rsidP="00C413AE">
            <w:pPr>
              <w:spacing w:after="0" w:line="240" w:lineRule="auto"/>
              <w:jc w:val="both"/>
              <w:rPr>
                <w:rFonts w:ascii="Arial" w:eastAsia="gobCL" w:hAnsi="Arial" w:cs="Arial"/>
                <w:b/>
                <w:color w:val="000000"/>
                <w:highlight w:val="yellow"/>
              </w:rPr>
            </w:pPr>
          </w:p>
          <w:p w14:paraId="7FD08C32" w14:textId="77777777" w:rsidR="003777B2" w:rsidRDefault="003777B2" w:rsidP="00C413AE">
            <w:pPr>
              <w:spacing w:after="0" w:line="240" w:lineRule="auto"/>
              <w:jc w:val="both"/>
              <w:rPr>
                <w:rFonts w:ascii="Arial" w:eastAsia="gobCL" w:hAnsi="Arial" w:cs="Arial"/>
                <w:b/>
                <w:color w:val="000000"/>
                <w:highlight w:val="yellow"/>
              </w:rPr>
            </w:pPr>
          </w:p>
          <w:p w14:paraId="7E9F65AD" w14:textId="77777777" w:rsidR="003777B2" w:rsidRPr="002A7776" w:rsidRDefault="003777B2" w:rsidP="00C413AE">
            <w:pPr>
              <w:spacing w:after="0" w:line="240" w:lineRule="auto"/>
              <w:jc w:val="both"/>
              <w:rPr>
                <w:rFonts w:ascii="Arial" w:eastAsia="gobCL" w:hAnsi="Arial" w:cs="Arial"/>
                <w:color w:val="000000"/>
                <w:highlight w:val="yellow"/>
              </w:rPr>
            </w:pPr>
            <w:r w:rsidRPr="00757DF6">
              <w:rPr>
                <w:rFonts w:ascii="Arial" w:eastAsia="gobCL" w:hAnsi="Arial" w:cs="Arial"/>
                <w:b/>
                <w:color w:val="000000"/>
              </w:rPr>
              <w:t xml:space="preserve">         10%</w:t>
            </w:r>
            <w:r w:rsidRPr="00757DF6">
              <w:rPr>
                <w:rFonts w:ascii="Arial" w:eastAsia="gobCL" w:hAnsi="Arial" w:cs="Arial"/>
                <w:color w:val="000000"/>
              </w:rPr>
              <w:t xml:space="preserve"> </w:t>
            </w:r>
          </w:p>
        </w:tc>
      </w:tr>
      <w:tr w:rsidR="003777B2" w:rsidRPr="007C5A3A" w14:paraId="0E52CFCE" w14:textId="77777777" w:rsidTr="003777B2">
        <w:trPr>
          <w:trHeight w:val="440"/>
        </w:trPr>
        <w:tc>
          <w:tcPr>
            <w:tcW w:w="2268" w:type="dxa"/>
            <w:shd w:val="clear" w:color="auto" w:fill="auto"/>
            <w:vAlign w:val="center"/>
          </w:tcPr>
          <w:p w14:paraId="345A1BFC" w14:textId="77777777" w:rsidR="003777B2" w:rsidRPr="007C5A3A" w:rsidRDefault="003777B2" w:rsidP="00C413AE">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685" w:type="dxa"/>
            <w:shd w:val="clear" w:color="auto" w:fill="auto"/>
            <w:vAlign w:val="center"/>
          </w:tcPr>
          <w:p w14:paraId="7FF071B4" w14:textId="77777777" w:rsidR="003777B2" w:rsidRPr="007C5A3A" w:rsidRDefault="003777B2" w:rsidP="00C413AE">
            <w:pPr>
              <w:spacing w:after="0" w:line="240" w:lineRule="auto"/>
              <w:jc w:val="center"/>
              <w:rPr>
                <w:rFonts w:ascii="Arial" w:eastAsia="gobCL" w:hAnsi="Arial" w:cs="Arial"/>
                <w:color w:val="000000"/>
              </w:rPr>
            </w:pPr>
            <w:r>
              <w:rPr>
                <w:rFonts w:ascii="Arial" w:eastAsia="gobCL" w:hAnsi="Arial" w:cs="Arial"/>
                <w:color w:val="000000"/>
              </w:rPr>
              <w:t>$2.0</w:t>
            </w:r>
            <w:r w:rsidRPr="007C5A3A">
              <w:rPr>
                <w:rFonts w:ascii="Arial" w:eastAsia="gobCL" w:hAnsi="Arial" w:cs="Arial"/>
                <w:color w:val="000000"/>
              </w:rPr>
              <w:t>00.000</w:t>
            </w:r>
          </w:p>
          <w:p w14:paraId="4646FA74" w14:textId="77777777" w:rsidR="003777B2" w:rsidRPr="007C5A3A" w:rsidRDefault="003777B2" w:rsidP="00C413AE">
            <w:pPr>
              <w:spacing w:after="0" w:line="240" w:lineRule="auto"/>
              <w:jc w:val="center"/>
              <w:rPr>
                <w:rFonts w:ascii="Arial" w:eastAsia="gobCL" w:hAnsi="Arial" w:cs="Arial"/>
                <w:color w:val="000000"/>
              </w:rPr>
            </w:pPr>
            <w:r w:rsidRPr="007C5A3A">
              <w:rPr>
                <w:rFonts w:ascii="Arial" w:eastAsia="gobCL" w:hAnsi="Arial" w:cs="Arial"/>
                <w:color w:val="000000"/>
              </w:rPr>
              <w:t>(</w:t>
            </w:r>
            <w:r>
              <w:rPr>
                <w:rFonts w:ascii="Arial" w:eastAsia="gobCL" w:hAnsi="Arial" w:cs="Arial"/>
                <w:color w:val="000000"/>
              </w:rPr>
              <w:t>dos millones</w:t>
            </w:r>
            <w:r w:rsidRPr="007C5A3A">
              <w:rPr>
                <w:rFonts w:ascii="Arial" w:eastAsia="gobCL" w:hAnsi="Arial" w:cs="Arial"/>
                <w:color w:val="000000"/>
              </w:rPr>
              <w:t xml:space="preserve"> </w:t>
            </w:r>
            <w:r>
              <w:rPr>
                <w:rFonts w:ascii="Arial" w:eastAsia="gobCL" w:hAnsi="Arial" w:cs="Arial"/>
                <w:color w:val="000000"/>
              </w:rPr>
              <w:t xml:space="preserve">de </w:t>
            </w:r>
            <w:r w:rsidRPr="007C5A3A">
              <w:rPr>
                <w:rFonts w:ascii="Arial" w:eastAsia="gobCL" w:hAnsi="Arial" w:cs="Arial"/>
                <w:color w:val="000000"/>
              </w:rPr>
              <w:t>pesos)</w:t>
            </w:r>
          </w:p>
        </w:tc>
        <w:tc>
          <w:tcPr>
            <w:tcW w:w="1843" w:type="dxa"/>
            <w:vMerge/>
            <w:shd w:val="clear" w:color="auto" w:fill="auto"/>
          </w:tcPr>
          <w:p w14:paraId="2C031BEB" w14:textId="77777777" w:rsidR="003777B2" w:rsidRPr="007C5A3A" w:rsidRDefault="003777B2" w:rsidP="00C413AE">
            <w:pPr>
              <w:widowControl w:val="0"/>
              <w:pBdr>
                <w:top w:val="nil"/>
                <w:left w:val="nil"/>
                <w:bottom w:val="nil"/>
                <w:right w:val="nil"/>
                <w:between w:val="nil"/>
              </w:pBdr>
              <w:spacing w:after="0"/>
              <w:rPr>
                <w:rFonts w:ascii="Arial" w:eastAsia="gobCL" w:hAnsi="Arial" w:cs="Arial"/>
                <w:color w:val="000000"/>
              </w:rPr>
            </w:pPr>
          </w:p>
        </w:tc>
      </w:tr>
      <w:tr w:rsidR="003777B2" w:rsidRPr="007C5A3A" w14:paraId="27F5F27D" w14:textId="77777777" w:rsidTr="003777B2">
        <w:trPr>
          <w:trHeight w:val="460"/>
        </w:trPr>
        <w:tc>
          <w:tcPr>
            <w:tcW w:w="2268" w:type="dxa"/>
            <w:shd w:val="clear" w:color="auto" w:fill="auto"/>
            <w:vAlign w:val="center"/>
          </w:tcPr>
          <w:p w14:paraId="19FAC59D" w14:textId="77777777" w:rsidR="003777B2" w:rsidRPr="007C5A3A" w:rsidRDefault="003777B2" w:rsidP="00C413AE">
            <w:pPr>
              <w:spacing w:after="0" w:line="240" w:lineRule="auto"/>
              <w:rPr>
                <w:rFonts w:ascii="Arial" w:eastAsia="gobCL" w:hAnsi="Arial" w:cs="Arial"/>
                <w:b/>
                <w:color w:val="000000"/>
              </w:rPr>
            </w:pPr>
            <w:r w:rsidRPr="007C5A3A">
              <w:rPr>
                <w:rFonts w:ascii="Arial" w:eastAsia="gobCL" w:hAnsi="Arial" w:cs="Arial"/>
                <w:b/>
                <w:color w:val="000000"/>
              </w:rPr>
              <w:t>Total proyecto</w:t>
            </w:r>
          </w:p>
        </w:tc>
        <w:tc>
          <w:tcPr>
            <w:tcW w:w="3685" w:type="dxa"/>
            <w:shd w:val="clear" w:color="auto" w:fill="auto"/>
            <w:vAlign w:val="center"/>
          </w:tcPr>
          <w:p w14:paraId="447BDF38" w14:textId="77777777" w:rsidR="003777B2" w:rsidRPr="007C5A3A" w:rsidRDefault="003777B2" w:rsidP="00C413AE">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b/>
                <w:color w:val="000000"/>
              </w:rPr>
              <w:t>2.3</w:t>
            </w:r>
            <w:r w:rsidRPr="007C5A3A">
              <w:rPr>
                <w:rFonts w:ascii="Arial" w:eastAsia="gobCL" w:hAnsi="Arial" w:cs="Arial"/>
                <w:b/>
                <w:color w:val="000000"/>
              </w:rPr>
              <w:t>50.000</w:t>
            </w:r>
          </w:p>
          <w:p w14:paraId="5F2F303F" w14:textId="77777777" w:rsidR="003777B2" w:rsidRPr="007C5A3A" w:rsidRDefault="003777B2" w:rsidP="00C413AE">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color w:val="000000"/>
              </w:rPr>
              <w:t>dos millones trescientos</w:t>
            </w:r>
            <w:r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843" w:type="dxa"/>
            <w:vMerge/>
            <w:shd w:val="clear" w:color="auto" w:fill="auto"/>
          </w:tcPr>
          <w:p w14:paraId="305AD6FA" w14:textId="77777777" w:rsidR="003777B2" w:rsidRPr="007C5A3A" w:rsidRDefault="003777B2" w:rsidP="00C413AE">
            <w:pPr>
              <w:widowControl w:val="0"/>
              <w:pBdr>
                <w:top w:val="nil"/>
                <w:left w:val="nil"/>
                <w:bottom w:val="nil"/>
                <w:right w:val="nil"/>
                <w:between w:val="nil"/>
              </w:pBdr>
              <w:spacing w:after="0"/>
              <w:rPr>
                <w:rFonts w:ascii="Arial" w:eastAsia="gobCL" w:hAnsi="Arial" w:cs="Arial"/>
                <w:b/>
                <w:color w:val="000000"/>
              </w:rPr>
            </w:pPr>
          </w:p>
        </w:tc>
      </w:tr>
    </w:tbl>
    <w:p w14:paraId="21646BB2" w14:textId="77777777" w:rsidR="003777B2" w:rsidRPr="009300E5" w:rsidRDefault="003777B2" w:rsidP="003777B2">
      <w:pPr>
        <w:pStyle w:val="Prrafodelista"/>
        <w:spacing w:after="0" w:line="240" w:lineRule="auto"/>
        <w:ind w:left="426"/>
        <w:jc w:val="both"/>
        <w:rPr>
          <w:rFonts w:ascii="Arial" w:eastAsia="gobCL" w:hAnsi="Arial" w:cs="Arial"/>
          <w:color w:val="000000"/>
        </w:rPr>
      </w:pPr>
    </w:p>
    <w:p w14:paraId="24844DAE" w14:textId="77777777" w:rsidR="003777B2" w:rsidRPr="009300E5" w:rsidRDefault="003777B2" w:rsidP="003777B2">
      <w:pPr>
        <w:pStyle w:val="Prrafodelista"/>
        <w:spacing w:after="0" w:line="240" w:lineRule="auto"/>
        <w:ind w:left="426"/>
        <w:jc w:val="both"/>
        <w:rPr>
          <w:rFonts w:ascii="Arial" w:eastAsia="gobCL" w:hAnsi="Arial" w:cs="Arial"/>
          <w:color w:val="000000"/>
        </w:rPr>
      </w:pPr>
      <w:r w:rsidRPr="00757DF6">
        <w:rPr>
          <w:rFonts w:ascii="Arial" w:eastAsia="gobCL" w:hAnsi="Arial" w:cs="Arial"/>
          <w:color w:val="000000"/>
        </w:rPr>
        <w:t>El proyecto debe considerar también, un aporte empresarial mínimo en efectivo de un 10 % del total del cofinanciamiento Sercotec.</w:t>
      </w:r>
      <w:r w:rsidRPr="009300E5">
        <w:rPr>
          <w:rFonts w:ascii="Arial" w:eastAsia="gobCL" w:hAnsi="Arial" w:cs="Arial"/>
          <w:color w:val="000000"/>
        </w:rPr>
        <w:t xml:space="preserve"> </w:t>
      </w:r>
    </w:p>
    <w:p w14:paraId="02A4C0AA" w14:textId="77777777" w:rsidR="003777B2" w:rsidRPr="009300E5" w:rsidRDefault="003777B2" w:rsidP="003777B2">
      <w:pPr>
        <w:pStyle w:val="Prrafodelista"/>
        <w:spacing w:after="0" w:line="240" w:lineRule="auto"/>
        <w:ind w:left="426"/>
        <w:jc w:val="both"/>
        <w:rPr>
          <w:rFonts w:ascii="Arial" w:eastAsia="gobCL" w:hAnsi="Arial" w:cs="Arial"/>
          <w:color w:val="000000"/>
        </w:rPr>
      </w:pPr>
    </w:p>
    <w:p w14:paraId="057FF2EF" w14:textId="77777777" w:rsidR="003777B2" w:rsidRPr="009300E5" w:rsidRDefault="003777B2" w:rsidP="003777B2">
      <w:pPr>
        <w:pStyle w:val="Prrafodelista"/>
        <w:spacing w:after="0" w:line="240" w:lineRule="auto"/>
        <w:ind w:left="426"/>
        <w:jc w:val="both"/>
        <w:rPr>
          <w:rFonts w:ascii="Arial" w:eastAsia="gobCL" w:hAnsi="Arial" w:cs="Arial"/>
          <w:color w:val="000000"/>
        </w:rPr>
      </w:pPr>
      <w:r w:rsidRPr="009300E5">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757DF6">
        <w:rPr>
          <w:rFonts w:ascii="Arial" w:eastAsia="gobCL" w:hAnsi="Arial" w:cs="Arial"/>
          <w:color w:val="000000"/>
        </w:rPr>
        <w:t>$2.585.000 considerando un aporte empresarial de 10% mínimo</w:t>
      </w:r>
      <w:r w:rsidRPr="009300E5">
        <w:rPr>
          <w:rFonts w:ascii="Arial" w:eastAsia="gobCL" w:hAnsi="Arial" w:cs="Arial"/>
          <w:color w:val="000000"/>
        </w:rPr>
        <w:t xml:space="preserve"> del cofinanciamiento Sercotec. </w:t>
      </w:r>
    </w:p>
    <w:p w14:paraId="18975EA5" w14:textId="77777777" w:rsidR="003777B2" w:rsidRPr="009300E5" w:rsidRDefault="003777B2" w:rsidP="003777B2">
      <w:pPr>
        <w:pStyle w:val="Prrafodelista"/>
        <w:spacing w:after="0" w:line="240" w:lineRule="auto"/>
        <w:jc w:val="both"/>
        <w:rPr>
          <w:rFonts w:ascii="Arial" w:eastAsia="gobCL" w:hAnsi="Arial" w:cs="Arial"/>
          <w:b/>
          <w:color w:val="000000"/>
          <w:u w:val="single"/>
        </w:rPr>
      </w:pPr>
    </w:p>
    <w:p w14:paraId="0216A3AC" w14:textId="77777777" w:rsidR="003777B2" w:rsidRPr="009300E5" w:rsidRDefault="003777B2" w:rsidP="003777B2">
      <w:pPr>
        <w:pStyle w:val="Prrafodelista"/>
        <w:spacing w:after="0" w:line="240" w:lineRule="auto"/>
        <w:jc w:val="both"/>
        <w:rPr>
          <w:rFonts w:ascii="Arial" w:eastAsia="gobCL" w:hAnsi="Arial" w:cs="Arial"/>
          <w:b/>
          <w:color w:val="000000"/>
          <w:u w:val="single"/>
        </w:rPr>
      </w:pPr>
      <w:r w:rsidRPr="009300E5">
        <w:rPr>
          <w:rFonts w:ascii="Arial" w:eastAsia="gobCL" w:hAnsi="Arial" w:cs="Arial"/>
          <w:b/>
          <w:color w:val="000000"/>
          <w:u w:val="single"/>
        </w:rPr>
        <w:t>Ejemplo</w:t>
      </w:r>
    </w:p>
    <w:p w14:paraId="3991A981" w14:textId="77777777" w:rsidR="003777B2" w:rsidRPr="009300E5" w:rsidRDefault="003777B2" w:rsidP="003777B2">
      <w:pPr>
        <w:pStyle w:val="Prrafodelista"/>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777B2" w:rsidRPr="007C5A3A" w14:paraId="738475B3" w14:textId="77777777" w:rsidTr="00C413AE">
        <w:trPr>
          <w:trHeight w:val="340"/>
          <w:jc w:val="center"/>
        </w:trPr>
        <w:tc>
          <w:tcPr>
            <w:tcW w:w="2411" w:type="dxa"/>
            <w:tcBorders>
              <w:bottom w:val="single" w:sz="12" w:space="0" w:color="000000"/>
            </w:tcBorders>
            <w:shd w:val="clear" w:color="auto" w:fill="auto"/>
          </w:tcPr>
          <w:p w14:paraId="24209BE9" w14:textId="77777777" w:rsidR="003777B2" w:rsidRPr="007C5A3A" w:rsidRDefault="003777B2" w:rsidP="00C413AE">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120A0ADF" w14:textId="77777777" w:rsidR="003777B2" w:rsidRPr="007C5A3A" w:rsidRDefault="003777B2" w:rsidP="00C413AE">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264FBC98" w14:textId="77777777" w:rsidR="003777B2" w:rsidRPr="002E4004" w:rsidRDefault="003777B2" w:rsidP="00C413AE">
            <w:pPr>
              <w:spacing w:after="0" w:line="240" w:lineRule="auto"/>
              <w:rPr>
                <w:rFonts w:ascii="Arial" w:hAnsi="Arial" w:cs="Arial"/>
                <w:b/>
                <w:color w:val="000000"/>
              </w:rPr>
            </w:pPr>
            <w:r w:rsidRPr="002E4004">
              <w:rPr>
                <w:rFonts w:ascii="Arial" w:hAnsi="Arial" w:cs="Arial"/>
                <w:b/>
                <w:color w:val="000000"/>
              </w:rPr>
              <w:t xml:space="preserve">Aporte </w:t>
            </w:r>
            <w:r w:rsidRPr="002E4004">
              <w:rPr>
                <w:rFonts w:ascii="Arial" w:hAnsi="Arial" w:cs="Arial"/>
                <w:b/>
                <w:color w:val="000000"/>
              </w:rPr>
              <w:br/>
              <w:t xml:space="preserve">empresa (10%) </w:t>
            </w:r>
          </w:p>
        </w:tc>
        <w:tc>
          <w:tcPr>
            <w:tcW w:w="1613" w:type="dxa"/>
            <w:tcBorders>
              <w:bottom w:val="single" w:sz="12" w:space="0" w:color="000000"/>
            </w:tcBorders>
            <w:shd w:val="clear" w:color="auto" w:fill="auto"/>
          </w:tcPr>
          <w:p w14:paraId="5C02D3CE" w14:textId="77777777" w:rsidR="003777B2" w:rsidRPr="002E4004" w:rsidRDefault="003777B2" w:rsidP="00C413AE">
            <w:pPr>
              <w:spacing w:after="0" w:line="240" w:lineRule="auto"/>
              <w:rPr>
                <w:rFonts w:ascii="Arial" w:hAnsi="Arial" w:cs="Arial"/>
                <w:b/>
                <w:color w:val="000000"/>
              </w:rPr>
            </w:pPr>
            <w:r w:rsidRPr="002E4004">
              <w:rPr>
                <w:rFonts w:ascii="Arial" w:hAnsi="Arial" w:cs="Arial"/>
                <w:b/>
                <w:color w:val="000000"/>
              </w:rPr>
              <w:t xml:space="preserve">Totales por </w:t>
            </w:r>
            <w:r w:rsidRPr="002E4004">
              <w:rPr>
                <w:rFonts w:ascii="Arial" w:hAnsi="Arial" w:cs="Arial"/>
                <w:b/>
                <w:color w:val="000000"/>
              </w:rPr>
              <w:br/>
              <w:t xml:space="preserve">componente </w:t>
            </w:r>
          </w:p>
        </w:tc>
      </w:tr>
      <w:tr w:rsidR="003777B2" w:rsidRPr="007C5A3A" w14:paraId="1F326AA9" w14:textId="77777777" w:rsidTr="00C413AE">
        <w:trPr>
          <w:trHeight w:val="460"/>
          <w:jc w:val="center"/>
        </w:trPr>
        <w:tc>
          <w:tcPr>
            <w:tcW w:w="2411" w:type="dxa"/>
            <w:shd w:val="clear" w:color="auto" w:fill="auto"/>
          </w:tcPr>
          <w:p w14:paraId="3BA45B80" w14:textId="77777777" w:rsidR="003777B2" w:rsidRPr="007C5A3A" w:rsidRDefault="003777B2" w:rsidP="00C413AE">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2B570090" w14:textId="77777777" w:rsidR="003777B2" w:rsidRPr="007C5A3A" w:rsidRDefault="003777B2" w:rsidP="00C413AE">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43BD5D98" w14:textId="77777777" w:rsidR="003777B2" w:rsidRPr="002E4004" w:rsidRDefault="003777B2" w:rsidP="00C413AE">
            <w:pPr>
              <w:spacing w:after="0" w:line="240" w:lineRule="auto"/>
              <w:rPr>
                <w:rFonts w:ascii="Arial" w:hAnsi="Arial" w:cs="Arial"/>
                <w:color w:val="000000"/>
              </w:rPr>
            </w:pPr>
            <w:r w:rsidRPr="002E4004">
              <w:rPr>
                <w:rFonts w:ascii="Arial" w:hAnsi="Arial" w:cs="Arial"/>
                <w:b/>
                <w:color w:val="000000"/>
              </w:rPr>
              <w:t>$    35.000</w:t>
            </w:r>
          </w:p>
        </w:tc>
        <w:tc>
          <w:tcPr>
            <w:tcW w:w="1613" w:type="dxa"/>
            <w:shd w:val="clear" w:color="auto" w:fill="auto"/>
          </w:tcPr>
          <w:p w14:paraId="52BC5C6C" w14:textId="77777777" w:rsidR="003777B2" w:rsidRPr="002E4004" w:rsidRDefault="003777B2" w:rsidP="00C413AE">
            <w:pPr>
              <w:spacing w:after="0" w:line="240" w:lineRule="auto"/>
              <w:rPr>
                <w:rFonts w:ascii="Arial" w:hAnsi="Arial" w:cs="Arial"/>
                <w:color w:val="000000"/>
              </w:rPr>
            </w:pPr>
            <w:r w:rsidRPr="002E4004">
              <w:rPr>
                <w:rFonts w:ascii="Arial" w:hAnsi="Arial" w:cs="Arial"/>
                <w:b/>
                <w:color w:val="000000"/>
              </w:rPr>
              <w:t>$   385.000</w:t>
            </w:r>
          </w:p>
        </w:tc>
      </w:tr>
      <w:tr w:rsidR="003777B2" w:rsidRPr="007C5A3A" w14:paraId="3FFFAB54" w14:textId="77777777" w:rsidTr="00C413AE">
        <w:trPr>
          <w:trHeight w:val="300"/>
          <w:jc w:val="center"/>
        </w:trPr>
        <w:tc>
          <w:tcPr>
            <w:tcW w:w="2411" w:type="dxa"/>
            <w:shd w:val="clear" w:color="auto" w:fill="auto"/>
          </w:tcPr>
          <w:p w14:paraId="6C329D8C" w14:textId="77777777" w:rsidR="003777B2" w:rsidRPr="007C5A3A" w:rsidRDefault="003777B2" w:rsidP="00C413AE">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6CD300FD" w14:textId="77777777" w:rsidR="003777B2" w:rsidRPr="007C5A3A" w:rsidRDefault="003777B2" w:rsidP="00C413AE">
            <w:pPr>
              <w:spacing w:after="0" w:line="240" w:lineRule="auto"/>
              <w:rPr>
                <w:rFonts w:ascii="Arial" w:hAnsi="Arial" w:cs="Arial"/>
                <w:color w:val="000000"/>
              </w:rPr>
            </w:pPr>
            <w:r>
              <w:rPr>
                <w:rFonts w:ascii="Arial" w:hAnsi="Arial" w:cs="Arial"/>
                <w:color w:val="000000"/>
              </w:rPr>
              <w:t xml:space="preserve"> $    2.0</w:t>
            </w:r>
            <w:r w:rsidRPr="007C5A3A">
              <w:rPr>
                <w:rFonts w:ascii="Arial" w:hAnsi="Arial" w:cs="Arial"/>
                <w:color w:val="000000"/>
              </w:rPr>
              <w:t xml:space="preserve">00.000 </w:t>
            </w:r>
          </w:p>
        </w:tc>
        <w:tc>
          <w:tcPr>
            <w:tcW w:w="1865" w:type="dxa"/>
            <w:shd w:val="clear" w:color="auto" w:fill="auto"/>
          </w:tcPr>
          <w:p w14:paraId="75D9D0EF" w14:textId="77777777" w:rsidR="003777B2" w:rsidRPr="002E4004" w:rsidRDefault="003777B2" w:rsidP="00C413AE">
            <w:pPr>
              <w:spacing w:after="0" w:line="240" w:lineRule="auto"/>
              <w:rPr>
                <w:rFonts w:ascii="Arial" w:hAnsi="Arial" w:cs="Arial"/>
                <w:color w:val="000000"/>
              </w:rPr>
            </w:pPr>
            <w:r w:rsidRPr="002E4004">
              <w:rPr>
                <w:rFonts w:ascii="Arial" w:hAnsi="Arial" w:cs="Arial"/>
                <w:b/>
                <w:color w:val="000000"/>
              </w:rPr>
              <w:t>$    200.000</w:t>
            </w:r>
          </w:p>
        </w:tc>
        <w:tc>
          <w:tcPr>
            <w:tcW w:w="1613" w:type="dxa"/>
            <w:shd w:val="clear" w:color="auto" w:fill="auto"/>
          </w:tcPr>
          <w:p w14:paraId="403157BC" w14:textId="77777777" w:rsidR="003777B2" w:rsidRPr="002E4004" w:rsidRDefault="003777B2" w:rsidP="00C413AE">
            <w:pPr>
              <w:spacing w:after="0" w:line="240" w:lineRule="auto"/>
              <w:rPr>
                <w:rFonts w:ascii="Arial" w:hAnsi="Arial" w:cs="Arial"/>
                <w:color w:val="000000"/>
              </w:rPr>
            </w:pPr>
            <w:r w:rsidRPr="002E4004">
              <w:rPr>
                <w:rFonts w:ascii="Arial" w:hAnsi="Arial" w:cs="Arial"/>
                <w:b/>
                <w:color w:val="000000"/>
              </w:rPr>
              <w:t xml:space="preserve">$    </w:t>
            </w:r>
            <w:r w:rsidRPr="002E4004">
              <w:rPr>
                <w:rFonts w:ascii="Arial" w:hAnsi="Arial" w:cs="Arial"/>
                <w:color w:val="000000"/>
              </w:rPr>
              <w:t>2.200.000</w:t>
            </w:r>
          </w:p>
        </w:tc>
      </w:tr>
      <w:tr w:rsidR="003777B2" w:rsidRPr="007C5A3A" w14:paraId="367761AF" w14:textId="77777777" w:rsidTr="00C413AE">
        <w:trPr>
          <w:trHeight w:val="300"/>
          <w:jc w:val="center"/>
        </w:trPr>
        <w:tc>
          <w:tcPr>
            <w:tcW w:w="2411" w:type="dxa"/>
            <w:shd w:val="clear" w:color="auto" w:fill="auto"/>
          </w:tcPr>
          <w:p w14:paraId="4E5C7BCC" w14:textId="77777777" w:rsidR="003777B2" w:rsidRPr="007C5A3A" w:rsidRDefault="003777B2" w:rsidP="00C413AE">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D06297C" w14:textId="77777777" w:rsidR="003777B2" w:rsidRPr="007C5A3A" w:rsidRDefault="003777B2" w:rsidP="00C413AE">
            <w:pPr>
              <w:spacing w:after="0" w:line="240" w:lineRule="auto"/>
              <w:rPr>
                <w:rFonts w:ascii="Arial" w:hAnsi="Arial" w:cs="Arial"/>
                <w:b/>
                <w:color w:val="000000"/>
              </w:rPr>
            </w:pPr>
            <w:r w:rsidRPr="007C5A3A">
              <w:rPr>
                <w:rFonts w:ascii="Arial" w:hAnsi="Arial" w:cs="Arial"/>
                <w:b/>
                <w:color w:val="000000"/>
              </w:rPr>
              <w:t xml:space="preserve"> </w:t>
            </w:r>
            <w:r>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007254DD" w14:textId="77777777" w:rsidR="003777B2" w:rsidRPr="002E4004" w:rsidRDefault="003777B2" w:rsidP="00C413AE">
            <w:pPr>
              <w:spacing w:after="0" w:line="240" w:lineRule="auto"/>
              <w:rPr>
                <w:rFonts w:ascii="Arial" w:hAnsi="Arial" w:cs="Arial"/>
                <w:b/>
                <w:color w:val="000000"/>
              </w:rPr>
            </w:pPr>
            <w:r w:rsidRPr="002E4004">
              <w:rPr>
                <w:rFonts w:ascii="Arial" w:hAnsi="Arial" w:cs="Arial"/>
                <w:b/>
                <w:color w:val="000000"/>
              </w:rPr>
              <w:t xml:space="preserve">$    235.000        </w:t>
            </w:r>
          </w:p>
        </w:tc>
        <w:tc>
          <w:tcPr>
            <w:tcW w:w="1613" w:type="dxa"/>
            <w:shd w:val="clear" w:color="auto" w:fill="auto"/>
          </w:tcPr>
          <w:p w14:paraId="3D2E5B75" w14:textId="77777777" w:rsidR="003777B2" w:rsidRPr="002E4004" w:rsidRDefault="003777B2" w:rsidP="00C413AE">
            <w:pPr>
              <w:spacing w:after="0" w:line="240" w:lineRule="auto"/>
              <w:rPr>
                <w:rFonts w:ascii="Arial" w:hAnsi="Arial" w:cs="Arial"/>
                <w:b/>
                <w:color w:val="000000"/>
              </w:rPr>
            </w:pPr>
            <w:r w:rsidRPr="002E4004">
              <w:rPr>
                <w:rFonts w:ascii="Arial" w:hAnsi="Arial" w:cs="Arial"/>
                <w:b/>
                <w:color w:val="000000"/>
              </w:rPr>
              <w:t xml:space="preserve">$    2.585.000          </w:t>
            </w:r>
          </w:p>
        </w:tc>
      </w:tr>
    </w:tbl>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lastRenderedPageBreak/>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6" w:name="_Toc132399433"/>
      <w:r w:rsidRPr="008C4570">
        <w:rPr>
          <w:rFonts w:ascii="Arial" w:hAnsi="Arial" w:cs="Arial"/>
        </w:rPr>
        <w:t>¿Qué NO financia el instrumento?</w:t>
      </w:r>
      <w:bookmarkEnd w:id="26"/>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7" w:name="_3rdcrjn" w:colFirst="0" w:colLast="0"/>
      <w:bookmarkStart w:id="28" w:name="_Toc132399434"/>
      <w:bookmarkEnd w:id="27"/>
      <w:r w:rsidRPr="008C4570">
        <w:rPr>
          <w:rFonts w:ascii="Arial" w:hAnsi="Arial" w:cs="Arial"/>
          <w:sz w:val="22"/>
        </w:rPr>
        <w:lastRenderedPageBreak/>
        <w:t>Postulación</w:t>
      </w:r>
      <w:bookmarkEnd w:id="28"/>
    </w:p>
    <w:p w14:paraId="24822609" w14:textId="77777777" w:rsidR="00C05310" w:rsidRPr="008C4570" w:rsidRDefault="008D3FED" w:rsidP="0063517E">
      <w:pPr>
        <w:pStyle w:val="Ttulo2"/>
        <w:numPr>
          <w:ilvl w:val="1"/>
          <w:numId w:val="34"/>
        </w:numPr>
        <w:rPr>
          <w:rFonts w:ascii="Arial" w:hAnsi="Arial" w:cs="Arial"/>
        </w:rPr>
      </w:pPr>
      <w:bookmarkStart w:id="29" w:name="_Toc132399435"/>
      <w:r w:rsidRPr="008C4570">
        <w:rPr>
          <w:rFonts w:ascii="Arial" w:hAnsi="Arial" w:cs="Arial"/>
        </w:rPr>
        <w:t>Plazos de postulación</w:t>
      </w:r>
      <w:r w:rsidRPr="008C4570">
        <w:rPr>
          <w:rFonts w:ascii="Arial" w:hAnsi="Arial" w:cs="Arial"/>
          <w:vertAlign w:val="superscript"/>
        </w:rPr>
        <w:footnoteReference w:id="6"/>
      </w:r>
      <w:bookmarkEnd w:id="29"/>
    </w:p>
    <w:p w14:paraId="2FF9E96F" w14:textId="77777777" w:rsidR="00C05310" w:rsidRPr="008C4570" w:rsidRDefault="00C05310">
      <w:pPr>
        <w:spacing w:after="0" w:line="240" w:lineRule="auto"/>
        <w:jc w:val="both"/>
        <w:rPr>
          <w:rFonts w:ascii="Arial" w:eastAsia="gobCL" w:hAnsi="Arial" w:cs="Arial"/>
          <w:b/>
        </w:rPr>
      </w:pPr>
    </w:p>
    <w:p w14:paraId="217D09B6" w14:textId="53AE4FA5"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791B81">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0" w:name="_lnxbz9" w:colFirst="0" w:colLast="0"/>
      <w:bookmarkStart w:id="31" w:name="_Toc132399436"/>
      <w:bookmarkEnd w:id="30"/>
      <w:r w:rsidRPr="008C4570">
        <w:rPr>
          <w:rFonts w:ascii="Arial" w:hAnsi="Arial" w:cs="Arial"/>
        </w:rPr>
        <w:t>Pasos para postular</w:t>
      </w:r>
      <w:bookmarkEnd w:id="31"/>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2" w:name="_1ksv4uv" w:colFirst="0" w:colLast="0"/>
      <w:bookmarkEnd w:id="32"/>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02ED0E2E" w14:textId="77777777" w:rsidR="002F1A79" w:rsidRPr="00682566" w:rsidRDefault="002F1A79" w:rsidP="002F1A79">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5B45BC6C" w14:textId="77777777" w:rsidR="002F1A79" w:rsidRPr="00682566" w:rsidRDefault="002F1A79" w:rsidP="002F1A79">
      <w:pPr>
        <w:spacing w:after="0" w:line="240" w:lineRule="auto"/>
        <w:rPr>
          <w:rFonts w:ascii="Arial" w:hAnsi="Arial" w:cs="Arial"/>
          <w:b/>
          <w:color w:val="0563C1"/>
          <w:u w:val="single"/>
        </w:rPr>
      </w:pPr>
    </w:p>
    <w:p w14:paraId="1D5A608B" w14:textId="77777777" w:rsidR="002F1A79" w:rsidRPr="00682566" w:rsidRDefault="002F1A79" w:rsidP="002F1A79">
      <w:pPr>
        <w:spacing w:after="0" w:line="240" w:lineRule="auto"/>
        <w:rPr>
          <w:rFonts w:ascii="Arial" w:hAnsi="Arial" w:cs="Arial"/>
        </w:rPr>
      </w:pPr>
      <w:r w:rsidRPr="00682566">
        <w:rPr>
          <w:rFonts w:ascii="Arial" w:hAnsi="Arial" w:cs="Arial"/>
        </w:rPr>
        <w:t>Además, podrán obtener orientación a través del agente operador de Sercotec.</w:t>
      </w:r>
    </w:p>
    <w:p w14:paraId="2F366ECB" w14:textId="77777777" w:rsidR="002F1A79" w:rsidRPr="00682566" w:rsidRDefault="002F1A79" w:rsidP="002F1A79">
      <w:pPr>
        <w:spacing w:after="0" w:line="240" w:lineRule="auto"/>
        <w:rPr>
          <w:rFonts w:ascii="Arial" w:hAnsi="Arial" w:cs="Arial"/>
        </w:rPr>
      </w:pPr>
    </w:p>
    <w:p w14:paraId="5645215C" w14:textId="77777777" w:rsidR="002F1A79" w:rsidRPr="00682566" w:rsidRDefault="002F1A79" w:rsidP="002F1A79">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351DA86E" w14:textId="77777777" w:rsidR="002F1A79" w:rsidRPr="00682566" w:rsidRDefault="002F1A79" w:rsidP="002F1A79">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2F1A79" w:rsidRPr="002F1A79" w14:paraId="3E60EE90" w14:textId="77777777" w:rsidTr="00C413AE">
        <w:trPr>
          <w:jc w:val="center"/>
        </w:trPr>
        <w:tc>
          <w:tcPr>
            <w:tcW w:w="6669" w:type="dxa"/>
            <w:gridSpan w:val="2"/>
            <w:shd w:val="clear" w:color="auto" w:fill="FBD4B4" w:themeFill="accent6" w:themeFillTint="66"/>
          </w:tcPr>
          <w:p w14:paraId="4DD34DEA" w14:textId="77777777" w:rsidR="002F1A79" w:rsidRPr="002F1A79" w:rsidRDefault="002F1A79" w:rsidP="00C413AE">
            <w:pPr>
              <w:jc w:val="center"/>
              <w:rPr>
                <w:rFonts w:ascii="Arial" w:hAnsi="Arial" w:cs="Arial"/>
                <w:sz w:val="22"/>
                <w:szCs w:val="22"/>
              </w:rPr>
            </w:pPr>
            <w:r w:rsidRPr="002F1A79">
              <w:rPr>
                <w:rFonts w:ascii="Arial" w:hAnsi="Arial" w:cs="Arial"/>
                <w:sz w:val="22"/>
                <w:szCs w:val="22"/>
              </w:rPr>
              <w:t>Datos de contacto</w:t>
            </w:r>
          </w:p>
        </w:tc>
      </w:tr>
      <w:tr w:rsidR="002F1A79" w:rsidRPr="002F1A79" w14:paraId="0F8F03D6" w14:textId="77777777" w:rsidTr="00C413AE">
        <w:trPr>
          <w:jc w:val="center"/>
        </w:trPr>
        <w:tc>
          <w:tcPr>
            <w:tcW w:w="2375" w:type="dxa"/>
          </w:tcPr>
          <w:p w14:paraId="27ACDB03" w14:textId="77777777" w:rsidR="002F1A79" w:rsidRPr="002F1A79" w:rsidRDefault="002F1A79" w:rsidP="00C413AE">
            <w:pPr>
              <w:rPr>
                <w:rFonts w:ascii="Arial" w:hAnsi="Arial" w:cs="Arial"/>
                <w:sz w:val="22"/>
                <w:szCs w:val="22"/>
              </w:rPr>
            </w:pPr>
            <w:r w:rsidRPr="002F1A79">
              <w:rPr>
                <w:rFonts w:ascii="Arial" w:hAnsi="Arial" w:cs="Arial"/>
                <w:sz w:val="22"/>
                <w:szCs w:val="22"/>
              </w:rPr>
              <w:t>Contacto OIRS</w:t>
            </w:r>
          </w:p>
        </w:tc>
        <w:tc>
          <w:tcPr>
            <w:tcW w:w="0" w:type="auto"/>
          </w:tcPr>
          <w:p w14:paraId="2D5ACD9E" w14:textId="77777777" w:rsidR="002F1A79" w:rsidRPr="002F1A79" w:rsidRDefault="002F1A79" w:rsidP="00C413AE">
            <w:pPr>
              <w:jc w:val="right"/>
              <w:rPr>
                <w:rFonts w:ascii="Arial" w:hAnsi="Arial" w:cs="Arial"/>
                <w:sz w:val="22"/>
                <w:szCs w:val="22"/>
              </w:rPr>
            </w:pPr>
            <w:r w:rsidRPr="002F1A79">
              <w:rPr>
                <w:rFonts w:ascii="Arial" w:hAnsi="Arial" w:cs="Arial"/>
                <w:sz w:val="22"/>
                <w:szCs w:val="22"/>
              </w:rPr>
              <w:t>www.sercotec.cl/contacto</w:t>
            </w:r>
          </w:p>
        </w:tc>
      </w:tr>
      <w:tr w:rsidR="002F1A79" w:rsidRPr="002F1A79" w14:paraId="08BDEE9A" w14:textId="77777777" w:rsidTr="00C413AE">
        <w:trPr>
          <w:jc w:val="center"/>
        </w:trPr>
        <w:tc>
          <w:tcPr>
            <w:tcW w:w="2375" w:type="dxa"/>
          </w:tcPr>
          <w:p w14:paraId="7C92EF9F" w14:textId="77777777" w:rsidR="002F1A79" w:rsidRPr="002F1A79" w:rsidRDefault="002F1A79" w:rsidP="00C413AE">
            <w:pPr>
              <w:rPr>
                <w:rFonts w:ascii="Arial" w:hAnsi="Arial" w:cs="Arial"/>
                <w:sz w:val="22"/>
                <w:szCs w:val="22"/>
              </w:rPr>
            </w:pPr>
            <w:r w:rsidRPr="002F1A79">
              <w:rPr>
                <w:rFonts w:ascii="Arial" w:hAnsi="Arial" w:cs="Arial"/>
                <w:sz w:val="22"/>
                <w:szCs w:val="22"/>
              </w:rPr>
              <w:t>Teléfonos</w:t>
            </w:r>
          </w:p>
        </w:tc>
        <w:tc>
          <w:tcPr>
            <w:tcW w:w="0" w:type="auto"/>
          </w:tcPr>
          <w:p w14:paraId="42C2B95A" w14:textId="77777777" w:rsidR="003777B2" w:rsidRDefault="003777B2" w:rsidP="00C413AE">
            <w:pPr>
              <w:jc w:val="right"/>
              <w:rPr>
                <w:rFonts w:ascii="Arial" w:hAnsi="Arial" w:cs="Arial"/>
                <w:sz w:val="22"/>
                <w:szCs w:val="22"/>
              </w:rPr>
            </w:pPr>
            <w:r>
              <w:rPr>
                <w:rFonts w:ascii="Arial" w:hAnsi="Arial" w:cs="Arial"/>
                <w:sz w:val="22"/>
                <w:szCs w:val="22"/>
              </w:rPr>
              <w:t xml:space="preserve">232425133 </w:t>
            </w:r>
          </w:p>
          <w:p w14:paraId="2BFFA086" w14:textId="7391FDCE" w:rsidR="002F1A79" w:rsidRPr="002F1A79" w:rsidRDefault="003777B2" w:rsidP="00C413AE">
            <w:pPr>
              <w:jc w:val="right"/>
              <w:rPr>
                <w:rFonts w:ascii="Arial" w:hAnsi="Arial" w:cs="Arial"/>
                <w:sz w:val="22"/>
                <w:szCs w:val="22"/>
              </w:rPr>
            </w:pPr>
            <w:r w:rsidRPr="003777B2">
              <w:rPr>
                <w:rFonts w:ascii="Arial" w:hAnsi="Arial" w:cs="Arial"/>
                <w:sz w:val="22"/>
                <w:szCs w:val="22"/>
              </w:rPr>
              <w:t>232425134</w:t>
            </w:r>
            <w:r w:rsidR="002F1A79" w:rsidRPr="002F1A79">
              <w:rPr>
                <w:rFonts w:ascii="Arial" w:hAnsi="Arial" w:cs="Arial"/>
                <w:sz w:val="22"/>
                <w:szCs w:val="22"/>
              </w:rPr>
              <w:t xml:space="preserve"> </w:t>
            </w:r>
          </w:p>
        </w:tc>
      </w:tr>
      <w:tr w:rsidR="002F1A79" w:rsidRPr="002F1A79" w14:paraId="33DCF5E5" w14:textId="77777777" w:rsidTr="00C413AE">
        <w:trPr>
          <w:jc w:val="center"/>
        </w:trPr>
        <w:tc>
          <w:tcPr>
            <w:tcW w:w="2375" w:type="dxa"/>
          </w:tcPr>
          <w:p w14:paraId="79774D14" w14:textId="77777777" w:rsidR="002F1A79" w:rsidRPr="002F1A79" w:rsidRDefault="002F1A79" w:rsidP="00C413AE">
            <w:pPr>
              <w:rPr>
                <w:rFonts w:ascii="Arial" w:hAnsi="Arial" w:cs="Arial"/>
                <w:sz w:val="22"/>
                <w:szCs w:val="22"/>
              </w:rPr>
            </w:pPr>
            <w:r w:rsidRPr="002F1A79">
              <w:rPr>
                <w:rFonts w:ascii="Arial" w:hAnsi="Arial" w:cs="Arial"/>
                <w:sz w:val="22"/>
                <w:szCs w:val="22"/>
              </w:rPr>
              <w:t>Dirección</w:t>
            </w:r>
          </w:p>
        </w:tc>
        <w:tc>
          <w:tcPr>
            <w:tcW w:w="0" w:type="auto"/>
          </w:tcPr>
          <w:p w14:paraId="70D4EEE0" w14:textId="3474BB07" w:rsidR="002F1A79" w:rsidRPr="002F1A79" w:rsidRDefault="003777B2" w:rsidP="00C413AE">
            <w:pPr>
              <w:jc w:val="right"/>
              <w:rPr>
                <w:rFonts w:ascii="Arial" w:hAnsi="Arial" w:cs="Arial"/>
                <w:sz w:val="22"/>
                <w:szCs w:val="22"/>
              </w:rPr>
            </w:pPr>
            <w:r w:rsidRPr="003777B2">
              <w:rPr>
                <w:rFonts w:ascii="Arial" w:hAnsi="Arial" w:cs="Arial"/>
                <w:sz w:val="22"/>
                <w:szCs w:val="22"/>
              </w:rPr>
              <w:t>Manuel Bulnes 439, Iquique</w:t>
            </w:r>
          </w:p>
        </w:tc>
      </w:tr>
    </w:tbl>
    <w:p w14:paraId="3ED22909" w14:textId="77777777" w:rsidR="002F1A79" w:rsidRPr="00682566" w:rsidRDefault="002F1A79" w:rsidP="002F1A79">
      <w:pPr>
        <w:spacing w:after="0" w:line="240" w:lineRule="auto"/>
        <w:rPr>
          <w:rFonts w:ascii="Arial" w:hAnsi="Arial" w:cs="Arial"/>
        </w:rPr>
      </w:pPr>
    </w:p>
    <w:p w14:paraId="1F7D05C1" w14:textId="77777777" w:rsidR="002F1A79" w:rsidRPr="00682566" w:rsidRDefault="002F1A79" w:rsidP="003777B2">
      <w:pPr>
        <w:pStyle w:val="Sinespaciado"/>
        <w:jc w:val="both"/>
        <w:rPr>
          <w:rFonts w:ascii="Arial" w:hAnsi="Arial" w:cs="Arial"/>
        </w:rPr>
      </w:pPr>
      <w:r w:rsidRPr="00682566">
        <w:rPr>
          <w:rFonts w:ascii="Arial" w:hAnsi="Arial" w:cs="Arial"/>
        </w:rPr>
        <w:t>Los horarios de atención de los Puntos Mipe son:</w:t>
      </w:r>
    </w:p>
    <w:p w14:paraId="1A527B88" w14:textId="77777777" w:rsidR="002F1A79" w:rsidRPr="00682566" w:rsidRDefault="002F1A79" w:rsidP="003777B2">
      <w:pPr>
        <w:pStyle w:val="Sinespaciado"/>
        <w:numPr>
          <w:ilvl w:val="0"/>
          <w:numId w:val="52"/>
        </w:numPr>
        <w:jc w:val="both"/>
        <w:rPr>
          <w:rFonts w:ascii="Arial" w:hAnsi="Arial" w:cs="Arial"/>
        </w:rPr>
      </w:pPr>
      <w:r w:rsidRPr="00682566">
        <w:rPr>
          <w:rFonts w:ascii="Arial" w:hAnsi="Arial" w:cs="Arial"/>
        </w:rPr>
        <w:t>De lunes a jueves desde las 8:30 - 13:00 hrs y de 15:00 – 18:00 hrs.</w:t>
      </w:r>
    </w:p>
    <w:p w14:paraId="6959CFA5" w14:textId="77777777" w:rsidR="002F1A79" w:rsidRPr="00682566" w:rsidRDefault="002F1A79" w:rsidP="003777B2">
      <w:pPr>
        <w:pStyle w:val="Sinespaciado"/>
        <w:numPr>
          <w:ilvl w:val="0"/>
          <w:numId w:val="52"/>
        </w:numPr>
        <w:jc w:val="both"/>
        <w:rPr>
          <w:rFonts w:ascii="Arial" w:hAnsi="Arial" w:cs="Arial"/>
        </w:rPr>
      </w:pPr>
      <w:r w:rsidRPr="00682566">
        <w:rPr>
          <w:rFonts w:ascii="Arial" w:hAnsi="Arial" w:cs="Arial"/>
        </w:rPr>
        <w:t>Viernes de 8:30 - 13:00 hrs y de 15:00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3" w:name="_Toc132399437"/>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3"/>
    </w:p>
    <w:p w14:paraId="687FFCB6" w14:textId="12052560" w:rsidR="00E77D4A" w:rsidRPr="008C4570" w:rsidRDefault="008D3FED" w:rsidP="00683869">
      <w:pPr>
        <w:pStyle w:val="Ttulo2"/>
        <w:numPr>
          <w:ilvl w:val="1"/>
          <w:numId w:val="37"/>
        </w:numPr>
        <w:jc w:val="both"/>
        <w:rPr>
          <w:rFonts w:ascii="Arial" w:hAnsi="Arial" w:cs="Arial"/>
        </w:rPr>
      </w:pPr>
      <w:bookmarkStart w:id="34" w:name="_Toc132399438"/>
      <w:r w:rsidRPr="008C4570">
        <w:rPr>
          <w:rFonts w:ascii="Arial" w:hAnsi="Arial" w:cs="Arial"/>
        </w:rPr>
        <w:t>Admisibilidad de requisitos y evaluación técnica del proyecto.</w:t>
      </w:r>
      <w:bookmarkEnd w:id="34"/>
    </w:p>
    <w:p w14:paraId="6CEA9970" w14:textId="7F756667" w:rsidR="00E77D4A" w:rsidRPr="008C4570" w:rsidRDefault="00E77D4A" w:rsidP="0063517E">
      <w:pPr>
        <w:pStyle w:val="Ttulo3"/>
        <w:numPr>
          <w:ilvl w:val="2"/>
          <w:numId w:val="39"/>
        </w:numPr>
        <w:rPr>
          <w:rFonts w:ascii="Arial" w:hAnsi="Arial" w:cs="Arial"/>
          <w:szCs w:val="22"/>
        </w:rPr>
      </w:pPr>
      <w:bookmarkStart w:id="35" w:name="_Toc132399439"/>
      <w:r w:rsidRPr="008C4570">
        <w:rPr>
          <w:rFonts w:ascii="Arial" w:hAnsi="Arial" w:cs="Arial"/>
          <w:szCs w:val="22"/>
        </w:rPr>
        <w:t>Evaluación de admisibilidad automática</w:t>
      </w:r>
      <w:bookmarkEnd w:id="35"/>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6" w:name="_Toc132399440"/>
      <w:r w:rsidRPr="008C4570">
        <w:rPr>
          <w:rFonts w:ascii="Arial" w:hAnsi="Arial" w:cs="Arial"/>
          <w:szCs w:val="22"/>
        </w:rPr>
        <w:t>Evaluación de admisibilidad manual</w:t>
      </w:r>
      <w:bookmarkEnd w:id="36"/>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7" w:name="_Toc132399441"/>
      <w:r w:rsidRPr="008C4570">
        <w:rPr>
          <w:rFonts w:ascii="Arial" w:hAnsi="Arial" w:cs="Arial"/>
          <w:szCs w:val="22"/>
        </w:rPr>
        <w:t>Evaluac</w:t>
      </w:r>
      <w:r w:rsidR="008D3FED" w:rsidRPr="008C4570">
        <w:rPr>
          <w:rFonts w:ascii="Arial" w:hAnsi="Arial" w:cs="Arial"/>
          <w:szCs w:val="22"/>
        </w:rPr>
        <w:t>ión técnica del proyecto</w:t>
      </w:r>
      <w:bookmarkEnd w:id="37"/>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8" w:name="_1y810tw" w:colFirst="0" w:colLast="0"/>
      <w:bookmarkEnd w:id="38"/>
    </w:p>
    <w:p w14:paraId="134B80DB" w14:textId="25623495" w:rsidR="00C05310" w:rsidRPr="008C4570" w:rsidRDefault="008D3FED" w:rsidP="0063517E">
      <w:pPr>
        <w:pStyle w:val="Ttulo2"/>
        <w:numPr>
          <w:ilvl w:val="1"/>
          <w:numId w:val="37"/>
        </w:numPr>
        <w:rPr>
          <w:rFonts w:ascii="Arial" w:hAnsi="Arial" w:cs="Arial"/>
        </w:rPr>
      </w:pPr>
      <w:bookmarkStart w:id="39" w:name="_Toc132399442"/>
      <w:r w:rsidRPr="008C4570">
        <w:rPr>
          <w:rFonts w:ascii="Arial" w:hAnsi="Arial" w:cs="Arial"/>
        </w:rPr>
        <w:t>Evaluación técnica en terreno</w:t>
      </w:r>
      <w:bookmarkEnd w:id="39"/>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0" w:name="_Toc132399443"/>
      <w:r w:rsidRPr="008C4570">
        <w:rPr>
          <w:rFonts w:ascii="Arial" w:hAnsi="Arial" w:cs="Arial"/>
        </w:rPr>
        <w:t>Evaluación y asignación de recursos del Comité de Evaluación Regional (CER)</w:t>
      </w:r>
      <w:bookmarkEnd w:id="40"/>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1" w:name="_Toc132399444"/>
      <w:r w:rsidRPr="008C4570">
        <w:rPr>
          <w:rFonts w:ascii="Arial" w:hAnsi="Arial" w:cs="Arial"/>
          <w:sz w:val="22"/>
        </w:rPr>
        <w:t>Formalización</w:t>
      </w:r>
      <w:bookmarkEnd w:id="41"/>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2" w:name="_3whwml4" w:colFirst="0" w:colLast="0"/>
      <w:bookmarkEnd w:id="42"/>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3" w:name="_Toc132399445"/>
      <w:r w:rsidRPr="008C4570">
        <w:rPr>
          <w:rFonts w:ascii="Arial" w:hAnsi="Arial" w:cs="Arial"/>
        </w:rPr>
        <w:t>Para la firma del contrato</w:t>
      </w:r>
      <w:bookmarkEnd w:id="43"/>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4" w:name="_Toc132399446"/>
      <w:r w:rsidRPr="008C4570">
        <w:rPr>
          <w:rFonts w:ascii="Arial" w:hAnsi="Arial" w:cs="Arial"/>
        </w:rPr>
        <w:t>Ejecución</w:t>
      </w:r>
      <w:bookmarkEnd w:id="44"/>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Por lo tanto, todos los gastos 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5" w:name="_Toc132399447"/>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5"/>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6" w:name="_Toc132399448"/>
      <w:r w:rsidRPr="008C4570">
        <w:t>5.2</w:t>
      </w:r>
      <w:r w:rsidRPr="008C4570">
        <w:tab/>
        <w:t>Incumplimiento del Contrato (verificado con posterioridad a la vigencia del contrato).</w:t>
      </w:r>
      <w:bookmarkEnd w:id="46"/>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7" w:name="_Toc521483855"/>
      <w:bookmarkStart w:id="48" w:name="_Toc132399449"/>
      <w:r w:rsidRPr="008C4570">
        <w:rPr>
          <w:rFonts w:ascii="Arial" w:hAnsi="Arial" w:cs="Arial"/>
        </w:rPr>
        <w:t>5.</w:t>
      </w:r>
      <w:bookmarkStart w:id="49" w:name="_Toc99382580"/>
      <w:bookmarkStart w:id="50" w:name="_Toc99382791"/>
      <w:bookmarkStart w:id="51" w:name="_Toc99468210"/>
      <w:bookmarkStart w:id="52" w:name="_Toc99382581"/>
      <w:bookmarkStart w:id="53" w:name="_Toc99382792"/>
      <w:bookmarkStart w:id="54" w:name="_Toc99468211"/>
      <w:bookmarkStart w:id="55" w:name="_Toc99382582"/>
      <w:bookmarkStart w:id="56" w:name="_Toc99382793"/>
      <w:bookmarkStart w:id="57" w:name="_Toc99468212"/>
      <w:bookmarkStart w:id="58" w:name="_Toc99382583"/>
      <w:bookmarkStart w:id="59" w:name="_Toc99382794"/>
      <w:bookmarkStart w:id="60" w:name="_Toc99468213"/>
      <w:bookmarkStart w:id="61" w:name="_Toc99382584"/>
      <w:bookmarkStart w:id="62" w:name="_Toc99382795"/>
      <w:bookmarkStart w:id="63" w:name="_Toc99468214"/>
      <w:bookmarkStart w:id="64" w:name="_Toc99382585"/>
      <w:bookmarkStart w:id="65" w:name="_Toc99382796"/>
      <w:bookmarkStart w:id="66" w:name="_Toc99468215"/>
      <w:bookmarkStart w:id="67" w:name="_Toc99382586"/>
      <w:bookmarkStart w:id="68" w:name="_Toc99382797"/>
      <w:bookmarkStart w:id="69" w:name="_Toc99468216"/>
      <w:bookmarkStart w:id="70" w:name="_Toc99382587"/>
      <w:bookmarkStart w:id="71" w:name="_Toc99382798"/>
      <w:bookmarkStart w:id="72" w:name="_Toc99468217"/>
      <w:bookmarkStart w:id="73" w:name="_Toc99382588"/>
      <w:bookmarkStart w:id="74" w:name="_Toc99382799"/>
      <w:bookmarkStart w:id="75" w:name="_Toc99468218"/>
      <w:bookmarkStart w:id="76" w:name="_Toc99382589"/>
      <w:bookmarkStart w:id="77" w:name="_Toc99382800"/>
      <w:bookmarkStart w:id="78" w:name="_Toc99468219"/>
      <w:bookmarkStart w:id="79" w:name="_Toc99382590"/>
      <w:bookmarkStart w:id="80" w:name="_Toc99382801"/>
      <w:bookmarkStart w:id="81" w:name="_Toc99468220"/>
      <w:bookmarkStart w:id="82" w:name="_Toc99382591"/>
      <w:bookmarkStart w:id="83" w:name="_Toc99382802"/>
      <w:bookmarkStart w:id="84" w:name="_Toc99468221"/>
      <w:bookmarkStart w:id="85" w:name="_Toc99382592"/>
      <w:bookmarkStart w:id="86" w:name="_Toc99382803"/>
      <w:bookmarkStart w:id="87" w:name="_Toc99468222"/>
      <w:bookmarkStart w:id="88" w:name="_Toc99382593"/>
      <w:bookmarkStart w:id="89" w:name="_Toc99382804"/>
      <w:bookmarkStart w:id="90" w:name="_Toc99468223"/>
      <w:bookmarkStart w:id="91" w:name="_Toc99382594"/>
      <w:bookmarkStart w:id="92" w:name="_Toc99382805"/>
      <w:bookmarkStart w:id="93" w:name="_Toc99468224"/>
      <w:bookmarkStart w:id="94" w:name="_Toc99382595"/>
      <w:bookmarkStart w:id="95" w:name="_Toc99382806"/>
      <w:bookmarkStart w:id="96" w:name="_Toc99468225"/>
      <w:bookmarkStart w:id="97" w:name="_Toc99382596"/>
      <w:bookmarkStart w:id="98" w:name="_Toc99382807"/>
      <w:bookmarkStart w:id="99" w:name="_Toc99468226"/>
      <w:bookmarkStart w:id="100" w:name="_Toc99382597"/>
      <w:bookmarkStart w:id="101" w:name="_Toc99382808"/>
      <w:bookmarkStart w:id="102" w:name="_Toc99468227"/>
      <w:bookmarkStart w:id="103" w:name="_Toc99382598"/>
      <w:bookmarkStart w:id="104" w:name="_Toc99382809"/>
      <w:bookmarkStart w:id="105" w:name="_Toc99468228"/>
      <w:bookmarkStart w:id="106" w:name="_Toc99382599"/>
      <w:bookmarkStart w:id="107" w:name="_Toc99382810"/>
      <w:bookmarkStart w:id="108" w:name="_Toc99468229"/>
      <w:bookmarkStart w:id="109" w:name="_Toc99382600"/>
      <w:bookmarkStart w:id="110" w:name="_Toc99382811"/>
      <w:bookmarkStart w:id="111" w:name="_Toc99468230"/>
      <w:bookmarkStart w:id="112" w:name="_Toc99382601"/>
      <w:bookmarkStart w:id="113" w:name="_Toc99382812"/>
      <w:bookmarkStart w:id="114" w:name="_Toc99468231"/>
      <w:bookmarkStart w:id="115" w:name="_Toc99382602"/>
      <w:bookmarkStart w:id="116" w:name="_Toc99382813"/>
      <w:bookmarkStart w:id="117" w:name="_Toc99468232"/>
      <w:bookmarkStart w:id="118" w:name="_Toc99382603"/>
      <w:bookmarkStart w:id="119" w:name="_Toc99382814"/>
      <w:bookmarkStart w:id="120" w:name="_Toc99468233"/>
      <w:bookmarkStart w:id="121" w:name="_Toc99382604"/>
      <w:bookmarkStart w:id="122" w:name="_Toc99382815"/>
      <w:bookmarkStart w:id="123" w:name="_Toc99468234"/>
      <w:bookmarkStart w:id="124" w:name="_Toc99382605"/>
      <w:bookmarkStart w:id="125" w:name="_Toc99382816"/>
      <w:bookmarkStart w:id="126" w:name="_Toc99468235"/>
      <w:bookmarkStart w:id="127" w:name="_Toc99382606"/>
      <w:bookmarkStart w:id="128" w:name="_Toc99382817"/>
      <w:bookmarkStart w:id="129" w:name="_Toc99468236"/>
      <w:bookmarkStart w:id="130" w:name="_Toc99382607"/>
      <w:bookmarkStart w:id="131" w:name="_Toc99382818"/>
      <w:bookmarkStart w:id="132" w:name="_Toc99468237"/>
      <w:bookmarkStart w:id="133" w:name="_Toc99382608"/>
      <w:bookmarkStart w:id="134" w:name="_Toc99382819"/>
      <w:bookmarkStart w:id="135" w:name="_Toc99468238"/>
      <w:bookmarkStart w:id="136" w:name="_Toc99382609"/>
      <w:bookmarkStart w:id="137" w:name="_Toc99382820"/>
      <w:bookmarkStart w:id="138" w:name="_Toc99468239"/>
      <w:bookmarkStart w:id="139" w:name="_Toc99382610"/>
      <w:bookmarkStart w:id="140" w:name="_Toc99382821"/>
      <w:bookmarkStart w:id="141" w:name="_Toc99468240"/>
      <w:bookmarkStart w:id="142" w:name="_Toc99382611"/>
      <w:bookmarkStart w:id="143" w:name="_Toc99382822"/>
      <w:bookmarkStart w:id="144" w:name="_Toc99468241"/>
      <w:bookmarkStart w:id="145" w:name="_Toc99382612"/>
      <w:bookmarkStart w:id="146" w:name="_Toc99382823"/>
      <w:bookmarkStart w:id="147" w:name="_Toc99468242"/>
      <w:bookmarkStart w:id="148" w:name="_Toc99382613"/>
      <w:bookmarkStart w:id="149" w:name="_Toc99382824"/>
      <w:bookmarkStart w:id="150" w:name="_Toc99468243"/>
      <w:bookmarkStart w:id="151" w:name="_Toc99382614"/>
      <w:bookmarkStart w:id="152" w:name="_Toc99382825"/>
      <w:bookmarkStart w:id="153" w:name="_Toc99468244"/>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8"/>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607F17C6" w:rsidR="00D8628D" w:rsidRDefault="00D8628D" w:rsidP="009F7DDE">
      <w:pPr>
        <w:spacing w:after="0" w:line="240" w:lineRule="auto"/>
        <w:rPr>
          <w:rFonts w:ascii="Arial" w:eastAsia="gobCL" w:hAnsi="Arial" w:cs="Arial"/>
          <w:b/>
        </w:rPr>
      </w:pPr>
    </w:p>
    <w:p w14:paraId="06BFE1D2" w14:textId="3F556964" w:rsidR="002F1A79" w:rsidRDefault="002F1A79" w:rsidP="009F7DDE">
      <w:pPr>
        <w:spacing w:after="0" w:line="240" w:lineRule="auto"/>
        <w:rPr>
          <w:rFonts w:ascii="Arial" w:eastAsia="gobCL" w:hAnsi="Arial" w:cs="Arial"/>
          <w:b/>
        </w:rPr>
      </w:pPr>
    </w:p>
    <w:p w14:paraId="4AB906EE" w14:textId="0CA6B4B2" w:rsidR="002F1A79" w:rsidRDefault="002F1A79" w:rsidP="009F7DDE">
      <w:pPr>
        <w:spacing w:after="0" w:line="240" w:lineRule="auto"/>
        <w:rPr>
          <w:rFonts w:ascii="Arial" w:eastAsia="gobCL" w:hAnsi="Arial" w:cs="Arial"/>
          <w:b/>
        </w:rPr>
      </w:pPr>
    </w:p>
    <w:p w14:paraId="726EDB97" w14:textId="228214DA" w:rsidR="002F1A79" w:rsidRDefault="002F1A79" w:rsidP="009F7DDE">
      <w:pPr>
        <w:spacing w:after="0" w:line="240" w:lineRule="auto"/>
        <w:rPr>
          <w:rFonts w:ascii="Arial" w:eastAsia="gobCL" w:hAnsi="Arial" w:cs="Arial"/>
          <w:b/>
        </w:rPr>
      </w:pPr>
    </w:p>
    <w:p w14:paraId="7366B194" w14:textId="2120D2B9" w:rsidR="002F1A79" w:rsidRDefault="002F1A79" w:rsidP="009F7DDE">
      <w:pPr>
        <w:spacing w:after="0" w:line="240" w:lineRule="auto"/>
        <w:rPr>
          <w:rFonts w:ascii="Arial" w:eastAsia="gobCL" w:hAnsi="Arial" w:cs="Arial"/>
          <w:b/>
        </w:rPr>
      </w:pPr>
    </w:p>
    <w:p w14:paraId="0340CEF7" w14:textId="326D6645" w:rsidR="002F1A79" w:rsidRDefault="002F1A79" w:rsidP="009F7DDE">
      <w:pPr>
        <w:spacing w:after="0" w:line="240" w:lineRule="auto"/>
        <w:rPr>
          <w:rFonts w:ascii="Arial" w:eastAsia="gobCL" w:hAnsi="Arial" w:cs="Arial"/>
          <w:b/>
        </w:rPr>
      </w:pPr>
    </w:p>
    <w:p w14:paraId="29F9311F" w14:textId="2BAB8103" w:rsidR="002F1A79" w:rsidRDefault="002F1A79" w:rsidP="009F7DDE">
      <w:pPr>
        <w:spacing w:after="0" w:line="240" w:lineRule="auto"/>
        <w:rPr>
          <w:rFonts w:ascii="Arial" w:eastAsia="gobCL" w:hAnsi="Arial" w:cs="Arial"/>
          <w:b/>
        </w:rPr>
      </w:pPr>
    </w:p>
    <w:p w14:paraId="6D811E9D" w14:textId="6AC9B1A8" w:rsidR="002F1A79" w:rsidRDefault="002F1A79" w:rsidP="009F7DDE">
      <w:pPr>
        <w:spacing w:after="0" w:line="240" w:lineRule="auto"/>
        <w:rPr>
          <w:rFonts w:ascii="Arial" w:eastAsia="gobCL" w:hAnsi="Arial" w:cs="Arial"/>
          <w:b/>
        </w:rPr>
      </w:pPr>
    </w:p>
    <w:p w14:paraId="56B179EF" w14:textId="56406272" w:rsidR="002F1A79" w:rsidRDefault="002F1A79" w:rsidP="009F7DDE">
      <w:pPr>
        <w:spacing w:after="0" w:line="240" w:lineRule="auto"/>
        <w:rPr>
          <w:rFonts w:ascii="Arial" w:eastAsia="gobCL" w:hAnsi="Arial" w:cs="Arial"/>
          <w:b/>
        </w:rPr>
      </w:pPr>
    </w:p>
    <w:p w14:paraId="7F0D807C" w14:textId="77777777" w:rsidR="002F1A79" w:rsidRPr="008C4570" w:rsidRDefault="002F1A79"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7EE1F117" w:rsidR="006126B0" w:rsidRDefault="006126B0" w:rsidP="009F7DDE">
      <w:pPr>
        <w:spacing w:after="0" w:line="240" w:lineRule="auto"/>
        <w:rPr>
          <w:rFonts w:ascii="Arial" w:eastAsia="gobCL" w:hAnsi="Arial" w:cs="Arial"/>
          <w:b/>
        </w:rPr>
      </w:pPr>
    </w:p>
    <w:p w14:paraId="3CEAF345" w14:textId="47BAE23A" w:rsidR="002F1A79" w:rsidRDefault="002F1A79" w:rsidP="009F7DDE">
      <w:pPr>
        <w:spacing w:after="0" w:line="240" w:lineRule="auto"/>
        <w:rPr>
          <w:rFonts w:ascii="Arial" w:eastAsia="gobCL" w:hAnsi="Arial" w:cs="Arial"/>
          <w:b/>
        </w:rPr>
      </w:pPr>
    </w:p>
    <w:p w14:paraId="67859F23" w14:textId="77777777" w:rsidR="002F1A79" w:rsidRPr="008C4570" w:rsidRDefault="002F1A79"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21725C8A" w14:textId="77777777" w:rsidR="00C05310" w:rsidRPr="008C4570" w:rsidRDefault="00C05310">
      <w:pPr>
        <w:spacing w:after="0" w:line="240" w:lineRule="auto"/>
        <w:jc w:val="center"/>
        <w:rPr>
          <w:rFonts w:ascii="Arial" w:eastAsia="gobCL" w:hAnsi="Arial" w:cs="Arial"/>
          <w:b/>
        </w:rPr>
      </w:pPr>
    </w:p>
    <w:p w14:paraId="6FD378AA" w14:textId="77777777" w:rsidR="003777B2" w:rsidRPr="003777B2" w:rsidRDefault="003777B2" w:rsidP="003777B2">
      <w:pPr>
        <w:spacing w:after="0" w:line="240" w:lineRule="auto"/>
        <w:jc w:val="center"/>
        <w:rPr>
          <w:rFonts w:ascii="Arial" w:eastAsia="gobCL" w:hAnsi="Arial" w:cs="Arial"/>
          <w:b/>
        </w:rPr>
      </w:pPr>
      <w:r w:rsidRPr="003777B2">
        <w:rPr>
          <w:rFonts w:ascii="Arial" w:eastAsia="gobCL" w:hAnsi="Arial" w:cs="Arial"/>
          <w:b/>
        </w:rPr>
        <w:t>PROVINCIA DEL TAMARUGAL</w:t>
      </w:r>
    </w:p>
    <w:p w14:paraId="41325665" w14:textId="1EC91230" w:rsidR="00C05310" w:rsidRPr="008C4570" w:rsidRDefault="003777B2" w:rsidP="003777B2">
      <w:pPr>
        <w:spacing w:after="0" w:line="240" w:lineRule="auto"/>
        <w:jc w:val="center"/>
        <w:rPr>
          <w:rFonts w:ascii="Arial" w:eastAsia="gobCL" w:hAnsi="Arial" w:cs="Arial"/>
          <w:b/>
        </w:rPr>
      </w:pPr>
      <w:r w:rsidRPr="003777B2">
        <w:rPr>
          <w:rFonts w:ascii="Arial" w:eastAsia="gobCL" w:hAnsi="Arial" w:cs="Arial"/>
          <w:b/>
        </w:rPr>
        <w:t>REGIÓN DE TARAPACÁ</w:t>
      </w: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4" w:name="_Toc132399450"/>
      <w:r w:rsidRPr="008C4570">
        <w:rPr>
          <w:rFonts w:ascii="Arial" w:hAnsi="Arial" w:cs="Arial"/>
          <w:sz w:val="22"/>
        </w:rPr>
        <w:t>ANEXO N° 1</w:t>
      </w:r>
      <w:bookmarkEnd w:id="154"/>
    </w:p>
    <w:p w14:paraId="1D55E07F" w14:textId="77777777" w:rsidR="00C05310" w:rsidRPr="008C4570" w:rsidRDefault="008D3FED">
      <w:pPr>
        <w:spacing w:after="0"/>
        <w:jc w:val="center"/>
        <w:rPr>
          <w:rFonts w:ascii="Arial" w:eastAsia="gobCL" w:hAnsi="Arial" w:cs="Arial"/>
          <w:b/>
        </w:rPr>
      </w:pPr>
      <w:bookmarkStart w:id="155" w:name="_2p2csry" w:colFirst="0" w:colLast="0"/>
      <w:bookmarkEnd w:id="155"/>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0E14169D"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8B2846" w:rsidRPr="00517408">
              <w:rPr>
                <w:rFonts w:ascii="Arial" w:eastAsia="Times New Roman" w:hAnsi="Arial" w:cs="Arial"/>
                <w:color w:val="000000"/>
                <w:sz w:val="18"/>
                <w:szCs w:val="18"/>
                <w:lang w:val="es-419" w:eastAsia="es-419"/>
              </w:rPr>
              <w:t xml:space="preserve">en </w:t>
            </w:r>
            <w:r w:rsidR="008B2846" w:rsidRPr="008C4570">
              <w:rPr>
                <w:rFonts w:ascii="Arial" w:eastAsia="Times New Roman" w:hAnsi="Arial" w:cs="Arial"/>
                <w:color w:val="000000"/>
                <w:sz w:val="18"/>
                <w:szCs w:val="18"/>
                <w:lang w:val="es-419" w:eastAsia="es-419"/>
              </w:rPr>
              <w:t xml:space="preserve">la </w:t>
            </w:r>
            <w:r w:rsidR="00D87237">
              <w:rPr>
                <w:rFonts w:ascii="Arial" w:eastAsia="Times New Roman" w:hAnsi="Arial" w:cs="Arial"/>
                <w:color w:val="000000"/>
                <w:sz w:val="18"/>
                <w:szCs w:val="18"/>
                <w:lang w:val="es-419" w:eastAsia="es-419"/>
              </w:rPr>
              <w:t>Provincia</w:t>
            </w:r>
            <w:r w:rsidR="008B2846" w:rsidRPr="008C4570">
              <w:rPr>
                <w:rFonts w:ascii="Arial" w:eastAsia="Times New Roman" w:hAnsi="Arial" w:cs="Arial"/>
                <w:color w:val="000000"/>
                <w:sz w:val="18"/>
                <w:szCs w:val="18"/>
                <w:lang w:val="es-419" w:eastAsia="es-419"/>
              </w:rPr>
              <w:t xml:space="preserve"> de esta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59AF61B2" w:rsidR="00113C7A" w:rsidRPr="00EB7001" w:rsidRDefault="00113C7A" w:rsidP="00D87237">
            <w:pPr>
              <w:ind w:left="164" w:hanging="164"/>
              <w:jc w:val="both"/>
              <w:rPr>
                <w:rFonts w:ascii="Arial" w:eastAsia="gobCL" w:hAnsi="Arial" w:cs="Arial"/>
                <w:sz w:val="18"/>
                <w:szCs w:val="18"/>
              </w:rPr>
            </w:pPr>
            <w:r w:rsidRPr="00EB7001">
              <w:rPr>
                <w:rFonts w:ascii="Arial" w:eastAsia="gobCL" w:hAnsi="Arial" w:cs="Arial"/>
                <w:sz w:val="18"/>
                <w:szCs w:val="18"/>
              </w:rPr>
              <w:t xml:space="preserve">d. </w:t>
            </w:r>
            <w:r w:rsidR="00D87237" w:rsidRPr="00D87237">
              <w:rPr>
                <w:rFonts w:ascii="Arial" w:eastAsia="gobCL" w:hAnsi="Arial" w:cs="Arial"/>
                <w:sz w:val="18"/>
                <w:szCs w:val="18"/>
              </w:rPr>
              <w:t>Tener domicilio comercial registrado en SII en la Provincia de Tamarugal (Huara, Camiña, Colchane, Pozo Almonte y Pica) de la Región de Tarapacá.</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5BC857" w:rsidR="00C05310" w:rsidRPr="008C4570" w:rsidRDefault="008D3FED" w:rsidP="002F1A79">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adjudicado, cuyo monto debe corresponder al </w:t>
            </w:r>
            <w:r w:rsidR="00050ED6" w:rsidRPr="003777B2">
              <w:rPr>
                <w:rFonts w:ascii="Arial" w:eastAsia="gobCL" w:hAnsi="Arial" w:cs="Arial"/>
                <w:sz w:val="20"/>
                <w:szCs w:val="20"/>
              </w:rPr>
              <w:t>10</w:t>
            </w:r>
            <w:r w:rsidRPr="003777B2">
              <w:rPr>
                <w:rFonts w:ascii="Arial" w:eastAsia="gobCL" w:hAnsi="Arial" w:cs="Arial"/>
                <w:sz w:val="20"/>
                <w:szCs w:val="20"/>
              </w:rPr>
              <w:t>%</w:t>
            </w:r>
            <w:r w:rsidR="00CA36C4" w:rsidRPr="003777B2">
              <w:rPr>
                <w:rFonts w:ascii="Arial" w:eastAsia="gobCL" w:hAnsi="Arial" w:cs="Arial"/>
                <w:sz w:val="20"/>
                <w:szCs w:val="20"/>
              </w:rPr>
              <w:t xml:space="preserve"> </w:t>
            </w:r>
            <w:r w:rsidRPr="003777B2">
              <w:rPr>
                <w:rFonts w:ascii="Arial" w:eastAsia="gobCL" w:hAnsi="Arial" w:cs="Arial"/>
                <w:sz w:val="20"/>
                <w:szCs w:val="20"/>
              </w:rPr>
              <w:t>del</w:t>
            </w:r>
            <w:r w:rsidRPr="008C4570">
              <w:rPr>
                <w:rFonts w:ascii="Arial" w:eastAsia="gobCL" w:hAnsi="Arial" w:cs="Arial"/>
                <w:sz w:val="20"/>
                <w:szCs w:val="20"/>
              </w:rPr>
              <w:t xml:space="preserve">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6" w:name="_Toc132399451"/>
      <w:r w:rsidRPr="008C4570">
        <w:rPr>
          <w:rFonts w:ascii="Arial" w:hAnsi="Arial" w:cs="Arial"/>
          <w:sz w:val="22"/>
        </w:rPr>
        <w:t>ANEXO N° 2.B</w:t>
      </w:r>
      <w:bookmarkEnd w:id="156"/>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7" w:name="_Toc132399452"/>
      <w:r w:rsidRPr="008C4570">
        <w:rPr>
          <w:rFonts w:ascii="Arial" w:hAnsi="Arial" w:cs="Arial"/>
          <w:sz w:val="22"/>
        </w:rPr>
        <w:t>ANEXO N° 2.C</w:t>
      </w:r>
      <w:bookmarkEnd w:id="157"/>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8" w:name="_gem7z7epdq98" w:colFirst="0" w:colLast="0"/>
      <w:bookmarkEnd w:id="158"/>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59" w:name="_Toc132399453"/>
      <w:r w:rsidRPr="008C4570">
        <w:rPr>
          <w:rFonts w:ascii="Arial" w:hAnsi="Arial" w:cs="Arial"/>
          <w:sz w:val="22"/>
        </w:rPr>
        <w:t>A</w:t>
      </w:r>
      <w:r w:rsidR="008D3FED" w:rsidRPr="008C4570">
        <w:rPr>
          <w:rFonts w:ascii="Arial" w:hAnsi="Arial" w:cs="Arial"/>
          <w:sz w:val="22"/>
        </w:rPr>
        <w:t>NEXO N°3.A</w:t>
      </w:r>
      <w:bookmarkEnd w:id="159"/>
    </w:p>
    <w:p w14:paraId="57F663BD" w14:textId="77777777" w:rsidR="00F424B2" w:rsidRPr="008C4570" w:rsidRDefault="008D3FED" w:rsidP="0087229B">
      <w:pPr>
        <w:pStyle w:val="Sinespaciado"/>
        <w:rPr>
          <w:rFonts w:ascii="Arial" w:hAnsi="Arial" w:cs="Arial"/>
          <w:b/>
        </w:rPr>
      </w:pPr>
      <w:bookmarkStart w:id="160" w:name="_Toc31201571"/>
      <w:bookmarkStart w:id="161" w:name="_Toc99968302"/>
      <w:bookmarkStart w:id="162"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0"/>
      <w:bookmarkEnd w:id="161"/>
      <w:bookmarkEnd w:id="162"/>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3" w:name="_Toc31201572"/>
      <w:bookmarkStart w:id="164" w:name="_Toc99968303"/>
      <w:bookmarkStart w:id="165"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3"/>
      <w:bookmarkEnd w:id="164"/>
      <w:bookmarkEnd w:id="165"/>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6" w:name="_es8s5qpi6emy" w:colFirst="0" w:colLast="0"/>
      <w:bookmarkEnd w:id="166"/>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7" w:name="_32hioqz" w:colFirst="0" w:colLast="0"/>
      <w:bookmarkStart w:id="168" w:name="_Toc132399454"/>
      <w:bookmarkEnd w:id="167"/>
      <w:r w:rsidRPr="008C4570">
        <w:rPr>
          <w:rFonts w:ascii="Arial" w:hAnsi="Arial" w:cs="Arial"/>
          <w:sz w:val="22"/>
        </w:rPr>
        <w:t>A</w:t>
      </w:r>
      <w:r w:rsidR="008D3FED" w:rsidRPr="008C4570">
        <w:rPr>
          <w:rFonts w:ascii="Arial" w:hAnsi="Arial" w:cs="Arial"/>
          <w:sz w:val="22"/>
        </w:rPr>
        <w:t>NEXO N°3.B</w:t>
      </w:r>
      <w:bookmarkEnd w:id="168"/>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69" w:name="_Toc132399455"/>
      <w:r w:rsidRPr="008C4570">
        <w:rPr>
          <w:rFonts w:ascii="Arial" w:hAnsi="Arial" w:cs="Arial"/>
          <w:sz w:val="22"/>
        </w:rPr>
        <w:t>A</w:t>
      </w:r>
      <w:r w:rsidR="008A2DBC" w:rsidRPr="008C4570">
        <w:rPr>
          <w:rFonts w:ascii="Arial" w:hAnsi="Arial" w:cs="Arial"/>
          <w:sz w:val="22"/>
        </w:rPr>
        <w:t>NEXO N°3.C</w:t>
      </w:r>
      <w:bookmarkEnd w:id="169"/>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0" w:name="_Toc132399456"/>
      <w:r w:rsidRPr="008C4570">
        <w:rPr>
          <w:rFonts w:ascii="Arial" w:hAnsi="Arial" w:cs="Arial"/>
        </w:rPr>
        <w:t>ANEXO N°4</w:t>
      </w:r>
      <w:bookmarkEnd w:id="170"/>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1" w:name="_Toc132399457"/>
      <w:r w:rsidRPr="008C4570">
        <w:rPr>
          <w:rFonts w:ascii="Arial" w:hAnsi="Arial" w:cs="Arial"/>
          <w:sz w:val="22"/>
        </w:rPr>
        <w:t>ANEXO N°</w:t>
      </w:r>
      <w:r w:rsidR="00C136D7" w:rsidRPr="008C4570">
        <w:rPr>
          <w:rFonts w:ascii="Arial" w:hAnsi="Arial" w:cs="Arial"/>
          <w:sz w:val="22"/>
        </w:rPr>
        <w:t>5</w:t>
      </w:r>
      <w:bookmarkEnd w:id="171"/>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2" w:name="_vx1227" w:colFirst="0" w:colLast="0"/>
            <w:bookmarkEnd w:id="172"/>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3" w:name="_Toc132399458"/>
      <w:r w:rsidRPr="008C4570">
        <w:rPr>
          <w:rFonts w:ascii="Arial" w:hAnsi="Arial" w:cs="Arial"/>
          <w:sz w:val="22"/>
        </w:rPr>
        <w:t xml:space="preserve">ANEXO N° </w:t>
      </w:r>
      <w:r w:rsidR="00C136D7" w:rsidRPr="008C4570">
        <w:rPr>
          <w:rFonts w:ascii="Arial" w:hAnsi="Arial" w:cs="Arial"/>
          <w:sz w:val="22"/>
        </w:rPr>
        <w:t>6</w:t>
      </w:r>
      <w:bookmarkEnd w:id="173"/>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4" w:name="_Toc132399459"/>
      <w:r w:rsidRPr="008C4570">
        <w:rPr>
          <w:rFonts w:ascii="Arial" w:hAnsi="Arial" w:cs="Arial"/>
          <w:sz w:val="22"/>
        </w:rPr>
        <w:t xml:space="preserve">ANEXO N° </w:t>
      </w:r>
      <w:r w:rsidR="00C136D7" w:rsidRPr="008C4570">
        <w:rPr>
          <w:rFonts w:ascii="Arial" w:hAnsi="Arial" w:cs="Arial"/>
          <w:sz w:val="22"/>
        </w:rPr>
        <w:t>7</w:t>
      </w:r>
      <w:bookmarkEnd w:id="174"/>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5" w:name="_4f1mdlm" w:colFirst="0" w:colLast="0"/>
      <w:bookmarkEnd w:id="175"/>
      <w:r w:rsidRPr="008C4570">
        <w:rPr>
          <w:rFonts w:ascii="Arial" w:eastAsia="gobCL" w:hAnsi="Arial" w:cs="Arial"/>
          <w:b/>
          <w:color w:val="000000"/>
        </w:rPr>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3251"/>
        <w:gridCol w:w="1559"/>
        <w:gridCol w:w="2311"/>
        <w:gridCol w:w="1559"/>
      </w:tblGrid>
      <w:tr w:rsidR="003777B2" w14:paraId="2C110282" w14:textId="77777777" w:rsidTr="00C413AE">
        <w:trPr>
          <w:trHeight w:val="526"/>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774FC6" w14:textId="77777777" w:rsidR="003777B2" w:rsidRDefault="003777B2" w:rsidP="00C413AE">
            <w:pPr>
              <w:jc w:val="center"/>
              <w:rPr>
                <w:rFonts w:ascii="gobCL" w:eastAsia="gobCL" w:hAnsi="gobCL" w:cs="gobCL"/>
                <w:b/>
              </w:rPr>
            </w:pPr>
            <w:r>
              <w:rPr>
                <w:rFonts w:ascii="gobCL" w:eastAsia="gobCL" w:hAnsi="gobCL" w:cs="gobCL"/>
                <w:b/>
              </w:rPr>
              <w:t>Criterio 1</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F3C51A4" w14:textId="77777777" w:rsidR="003777B2" w:rsidRDefault="003777B2" w:rsidP="00C413AE">
            <w:pPr>
              <w:jc w:val="center"/>
              <w:rPr>
                <w:rFonts w:ascii="gobCL" w:eastAsia="gobCL" w:hAnsi="gobCL" w:cs="gobCL"/>
                <w:b/>
              </w:rPr>
            </w:pPr>
            <w:r>
              <w:rPr>
                <w:rFonts w:ascii="gobCL" w:eastAsia="gobCL" w:hAnsi="gobCL" w:cs="gobCL"/>
                <w:b/>
              </w:rPr>
              <w:t>Nota</w:t>
            </w:r>
          </w:p>
        </w:tc>
        <w:tc>
          <w:tcPr>
            <w:tcW w:w="23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815044D" w14:textId="77777777" w:rsidR="003777B2" w:rsidRDefault="003777B2" w:rsidP="00C413AE">
            <w:pPr>
              <w:jc w:val="center"/>
              <w:rPr>
                <w:rFonts w:ascii="gobCL" w:eastAsia="gobCL" w:hAnsi="gobCL" w:cs="gobCL"/>
                <w:b/>
              </w:rPr>
            </w:pPr>
            <w:r>
              <w:rPr>
                <w:rFonts w:ascii="gobCL" w:eastAsia="gobCL" w:hAnsi="gobCL" w:cs="gobCL"/>
                <w:b/>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952E466" w14:textId="77777777" w:rsidR="003777B2" w:rsidRDefault="003777B2" w:rsidP="00C413AE">
            <w:pPr>
              <w:jc w:val="center"/>
              <w:rPr>
                <w:rFonts w:ascii="gobCL" w:eastAsia="gobCL" w:hAnsi="gobCL" w:cs="gobCL"/>
                <w:b/>
              </w:rPr>
            </w:pPr>
            <w:r>
              <w:rPr>
                <w:rFonts w:ascii="gobCL" w:eastAsia="gobCL" w:hAnsi="gobCL" w:cs="gobCL"/>
                <w:b/>
              </w:rPr>
              <w:t>Ponderación</w:t>
            </w:r>
          </w:p>
        </w:tc>
      </w:tr>
      <w:tr w:rsidR="003777B2" w14:paraId="40675AFA" w14:textId="77777777" w:rsidTr="00C413AE">
        <w:trPr>
          <w:trHeight w:val="931"/>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9A0CD2" w14:textId="77777777" w:rsidR="003777B2" w:rsidRDefault="003777B2" w:rsidP="00C413AE">
            <w:pPr>
              <w:jc w:val="both"/>
              <w:rPr>
                <w:rFonts w:ascii="gobCL" w:eastAsia="gobCL" w:hAnsi="gobCL" w:cs="gobCL"/>
              </w:rPr>
            </w:pPr>
            <w:r>
              <w:rPr>
                <w:rFonts w:ascii="gobCL" w:eastAsia="gobCL" w:hAnsi="gobCL" w:cs="gobCL"/>
              </w:rPr>
              <w:t>Se priorizara que el almacén sea liderado por personas que cumplan con al menos una de  las siguientes características:</w:t>
            </w:r>
          </w:p>
          <w:p w14:paraId="67EA94BA" w14:textId="77777777" w:rsidR="003777B2" w:rsidRDefault="003777B2" w:rsidP="00C413AE">
            <w:pPr>
              <w:jc w:val="both"/>
              <w:rPr>
                <w:rFonts w:ascii="gobCL" w:eastAsia="gobCL" w:hAnsi="gobCL" w:cs="gobCL"/>
              </w:rPr>
            </w:pPr>
            <w:r>
              <w:rPr>
                <w:rFonts w:ascii="gobCL" w:eastAsia="gobCL" w:hAnsi="gobCL" w:cs="gobCL"/>
              </w:rPr>
              <w:t>- Sexo registral femenino</w:t>
            </w:r>
          </w:p>
          <w:p w14:paraId="2D588581" w14:textId="77777777" w:rsidR="003777B2" w:rsidRDefault="003777B2" w:rsidP="00C413AE">
            <w:pPr>
              <w:jc w:val="both"/>
              <w:rPr>
                <w:rFonts w:ascii="gobCL" w:eastAsia="gobCL" w:hAnsi="gobCL" w:cs="gobCL"/>
              </w:rPr>
            </w:pPr>
            <w:r>
              <w:rPr>
                <w:rFonts w:ascii="gobCL" w:eastAsia="gobCL" w:hAnsi="gobCL" w:cs="gobCL"/>
              </w:rPr>
              <w:t>- Adulto mayor</w:t>
            </w:r>
          </w:p>
          <w:p w14:paraId="380668DA" w14:textId="77777777" w:rsidR="003777B2" w:rsidRPr="00B44AF9" w:rsidRDefault="003777B2" w:rsidP="00C413AE">
            <w:pPr>
              <w:jc w:val="both"/>
              <w:rPr>
                <w:rFonts w:ascii="gobCL" w:eastAsia="gobCL" w:hAnsi="gobCL" w:cs="gobCL"/>
              </w:rPr>
            </w:pPr>
            <w:r>
              <w:rPr>
                <w:rFonts w:ascii="gobCL" w:eastAsia="gobCL" w:hAnsi="gobCL" w:cs="gobCL"/>
              </w:rPr>
              <w:t>- Personas con discapacidad</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8F13581" w14:textId="77777777" w:rsidR="003777B2" w:rsidRDefault="003777B2" w:rsidP="00C413AE">
            <w:pPr>
              <w:jc w:val="center"/>
              <w:rPr>
                <w:rFonts w:ascii="gobCL" w:eastAsia="gobCL" w:hAnsi="gobCL" w:cs="gobCL"/>
                <w:b/>
              </w:rPr>
            </w:pPr>
          </w:p>
          <w:p w14:paraId="089E8C8E" w14:textId="77777777" w:rsidR="003777B2" w:rsidRDefault="003777B2" w:rsidP="00C413AE">
            <w:pPr>
              <w:jc w:val="center"/>
              <w:rPr>
                <w:rFonts w:ascii="gobCL" w:eastAsia="gobCL" w:hAnsi="gobCL" w:cs="gobCL"/>
                <w:b/>
              </w:rPr>
            </w:pPr>
            <w:r>
              <w:rPr>
                <w:rFonts w:ascii="gobCL" w:eastAsia="gobCL" w:hAnsi="gobCL" w:cs="gobCL"/>
                <w:b/>
              </w:rPr>
              <w:t>7</w:t>
            </w:r>
          </w:p>
        </w:tc>
        <w:tc>
          <w:tcPr>
            <w:tcW w:w="23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582CC46" w14:textId="77777777" w:rsidR="003777B2" w:rsidRPr="00A44C53" w:rsidRDefault="003777B2" w:rsidP="00C413AE">
            <w:pPr>
              <w:jc w:val="both"/>
              <w:rPr>
                <w:rFonts w:ascii="gobCL" w:eastAsia="gobCL" w:hAnsi="gobCL" w:cs="gobCL"/>
                <w:bCs/>
              </w:rPr>
            </w:pPr>
            <w:r>
              <w:rPr>
                <w:rFonts w:ascii="gobCL" w:eastAsia="gobCL" w:hAnsi="gobCL" w:cs="gobCL"/>
                <w:bCs/>
              </w:rPr>
              <w:t>1</w:t>
            </w:r>
            <w:r w:rsidRPr="00A44C53">
              <w:rPr>
                <w:rFonts w:ascii="gobCL" w:eastAsia="gobCL" w:hAnsi="gobCL" w:cs="gobCL"/>
                <w:bCs/>
              </w:rPr>
              <w:t xml:space="preserve">.- Sexo registral femenino será verificado mediante </w:t>
            </w:r>
            <w:r>
              <w:rPr>
                <w:rFonts w:ascii="gobCL" w:eastAsia="gobCL" w:hAnsi="gobCL" w:cs="gobCL"/>
                <w:bCs/>
              </w:rPr>
              <w:t xml:space="preserve">copia de </w:t>
            </w:r>
            <w:r w:rsidRPr="00A44C53">
              <w:rPr>
                <w:rFonts w:ascii="gobCL" w:eastAsia="gobCL" w:hAnsi="gobCL" w:cs="gobCL"/>
                <w:bCs/>
              </w:rPr>
              <w:t>cédula de identidad</w:t>
            </w:r>
          </w:p>
          <w:p w14:paraId="45E3651B" w14:textId="77777777" w:rsidR="003777B2" w:rsidRPr="00A44C53" w:rsidRDefault="003777B2" w:rsidP="00C413AE">
            <w:pPr>
              <w:jc w:val="both"/>
              <w:rPr>
                <w:rFonts w:ascii="gobCL" w:eastAsia="gobCL" w:hAnsi="gobCL" w:cs="gobCL"/>
                <w:bCs/>
              </w:rPr>
            </w:pPr>
            <w:r w:rsidRPr="00A44C53">
              <w:rPr>
                <w:rFonts w:ascii="gobCL" w:eastAsia="gobCL" w:hAnsi="gobCL" w:cs="gobCL"/>
                <w:bCs/>
              </w:rPr>
              <w:t xml:space="preserve">2.- Personas de tercera edad será verificado mediante </w:t>
            </w:r>
            <w:r>
              <w:rPr>
                <w:rFonts w:ascii="gobCL" w:eastAsia="gobCL" w:hAnsi="gobCL" w:cs="gobCL"/>
                <w:bCs/>
              </w:rPr>
              <w:t xml:space="preserve">copia de </w:t>
            </w:r>
            <w:r w:rsidRPr="00A44C53">
              <w:rPr>
                <w:rFonts w:ascii="gobCL" w:eastAsia="gobCL" w:hAnsi="gobCL" w:cs="gobCL"/>
                <w:bCs/>
              </w:rPr>
              <w:t>cédula de identidad</w:t>
            </w:r>
          </w:p>
          <w:p w14:paraId="3FAAA82E" w14:textId="77777777" w:rsidR="003777B2" w:rsidRDefault="003777B2" w:rsidP="00C413AE">
            <w:pPr>
              <w:jc w:val="both"/>
              <w:rPr>
                <w:rFonts w:ascii="gobCL" w:eastAsia="gobCL" w:hAnsi="gobCL" w:cs="gobCL"/>
                <w:b/>
              </w:rPr>
            </w:pPr>
            <w:r w:rsidRPr="00A44C53">
              <w:rPr>
                <w:rFonts w:ascii="gobCL" w:eastAsia="gobCL" w:hAnsi="gobCL" w:cs="gobCL"/>
                <w:bCs/>
              </w:rPr>
              <w:t>3.-En el caso de personas con discapacidad: se verificara a través del certificado de discapacidad otorgado por el Registro Civil, o copia de la credencial de discapacidad</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1102D1B8" w14:textId="77777777" w:rsidR="003777B2" w:rsidRDefault="003777B2" w:rsidP="00C413AE">
            <w:pPr>
              <w:jc w:val="center"/>
              <w:rPr>
                <w:rFonts w:ascii="gobCL" w:eastAsia="gobCL" w:hAnsi="gobCL" w:cs="gobCL"/>
                <w:b/>
              </w:rPr>
            </w:pPr>
          </w:p>
          <w:p w14:paraId="34342DA0" w14:textId="77777777" w:rsidR="003777B2" w:rsidRPr="009F656E" w:rsidRDefault="003777B2" w:rsidP="00C413AE">
            <w:pPr>
              <w:rPr>
                <w:rFonts w:ascii="gobCL" w:eastAsia="gobCL" w:hAnsi="gobCL" w:cs="gobCL"/>
              </w:rPr>
            </w:pPr>
          </w:p>
          <w:p w14:paraId="50C72C4A" w14:textId="77777777" w:rsidR="003777B2" w:rsidRPr="009F656E" w:rsidRDefault="003777B2" w:rsidP="00C413AE">
            <w:pPr>
              <w:rPr>
                <w:rFonts w:ascii="gobCL" w:eastAsia="gobCL" w:hAnsi="gobCL" w:cs="gobCL"/>
              </w:rPr>
            </w:pPr>
          </w:p>
          <w:p w14:paraId="03FAF292" w14:textId="77777777" w:rsidR="003777B2" w:rsidRPr="009F656E" w:rsidRDefault="003777B2" w:rsidP="00C413AE">
            <w:pPr>
              <w:rPr>
                <w:rFonts w:ascii="gobCL" w:eastAsia="gobCL" w:hAnsi="gobCL" w:cs="gobCL"/>
              </w:rPr>
            </w:pPr>
          </w:p>
          <w:p w14:paraId="4D387CCA" w14:textId="77777777" w:rsidR="003777B2" w:rsidRPr="009F656E" w:rsidRDefault="003777B2" w:rsidP="00C413AE">
            <w:pPr>
              <w:rPr>
                <w:rFonts w:ascii="gobCL" w:eastAsia="gobCL" w:hAnsi="gobCL" w:cs="gobCL"/>
              </w:rPr>
            </w:pPr>
          </w:p>
          <w:p w14:paraId="0B18429A" w14:textId="77777777" w:rsidR="003777B2" w:rsidRPr="009F656E" w:rsidRDefault="003777B2" w:rsidP="00C413AE">
            <w:pPr>
              <w:rPr>
                <w:rFonts w:ascii="gobCL" w:eastAsia="gobCL" w:hAnsi="gobCL" w:cs="gobCL"/>
              </w:rPr>
            </w:pPr>
          </w:p>
          <w:p w14:paraId="3CBFD308" w14:textId="77777777" w:rsidR="003777B2" w:rsidRDefault="003777B2" w:rsidP="00C413AE">
            <w:pPr>
              <w:rPr>
                <w:rFonts w:ascii="gobCL" w:eastAsia="gobCL" w:hAnsi="gobCL" w:cs="gobCL"/>
                <w:b/>
              </w:rPr>
            </w:pPr>
          </w:p>
          <w:p w14:paraId="260F9F84" w14:textId="77777777" w:rsidR="003777B2" w:rsidRPr="009F656E" w:rsidRDefault="003777B2" w:rsidP="00C413AE">
            <w:pPr>
              <w:jc w:val="center"/>
              <w:rPr>
                <w:rFonts w:ascii="gobCL" w:eastAsia="gobCL" w:hAnsi="gobCL" w:cs="gobCL"/>
              </w:rPr>
            </w:pPr>
            <w:r>
              <w:rPr>
                <w:rFonts w:ascii="gobCL" w:eastAsia="gobCL" w:hAnsi="gobCL" w:cs="gobCL"/>
              </w:rPr>
              <w:t>20%</w:t>
            </w:r>
          </w:p>
        </w:tc>
      </w:tr>
      <w:tr w:rsidR="003777B2" w14:paraId="019F1E52" w14:textId="77777777" w:rsidTr="00C413AE">
        <w:trPr>
          <w:trHeight w:val="931"/>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1A025C" w14:textId="77777777" w:rsidR="003777B2" w:rsidRDefault="003777B2" w:rsidP="00C413AE">
            <w:pPr>
              <w:jc w:val="both"/>
              <w:rPr>
                <w:rFonts w:ascii="gobCL" w:eastAsia="gobCL" w:hAnsi="gobCL" w:cs="gobCL"/>
              </w:rPr>
            </w:pPr>
            <w:r>
              <w:rPr>
                <w:rFonts w:ascii="gobCL" w:eastAsia="gobCL" w:hAnsi="gobCL" w:cs="gobCL"/>
              </w:rPr>
              <w:t>El almacén que sea liderado por personas que No cumplan con al menos una de  las siguientes características:</w:t>
            </w:r>
          </w:p>
          <w:p w14:paraId="78D95F95" w14:textId="77777777" w:rsidR="003777B2" w:rsidRDefault="003777B2" w:rsidP="00C413AE">
            <w:pPr>
              <w:jc w:val="both"/>
              <w:rPr>
                <w:rFonts w:ascii="gobCL" w:eastAsia="gobCL" w:hAnsi="gobCL" w:cs="gobCL"/>
              </w:rPr>
            </w:pPr>
            <w:r>
              <w:rPr>
                <w:rFonts w:ascii="gobCL" w:eastAsia="gobCL" w:hAnsi="gobCL" w:cs="gobCL"/>
              </w:rPr>
              <w:t>-Mujeres</w:t>
            </w:r>
          </w:p>
          <w:p w14:paraId="4634C101" w14:textId="77777777" w:rsidR="003777B2" w:rsidRDefault="003777B2" w:rsidP="00C413AE">
            <w:pPr>
              <w:jc w:val="both"/>
              <w:rPr>
                <w:rFonts w:ascii="gobCL" w:eastAsia="gobCL" w:hAnsi="gobCL" w:cs="gobCL"/>
              </w:rPr>
            </w:pPr>
            <w:r>
              <w:rPr>
                <w:rFonts w:ascii="gobCL" w:eastAsia="gobCL" w:hAnsi="gobCL" w:cs="gobCL"/>
              </w:rPr>
              <w:t>-Adulto mayor</w:t>
            </w:r>
          </w:p>
          <w:p w14:paraId="70DD102A" w14:textId="77777777" w:rsidR="003777B2" w:rsidRPr="00B44AF9" w:rsidRDefault="003777B2" w:rsidP="00C413AE">
            <w:pPr>
              <w:jc w:val="both"/>
              <w:rPr>
                <w:rFonts w:ascii="gobCL" w:eastAsia="gobCL" w:hAnsi="gobCL" w:cs="gobCL"/>
              </w:rPr>
            </w:pPr>
            <w:r>
              <w:rPr>
                <w:rFonts w:ascii="gobCL" w:eastAsia="gobCL" w:hAnsi="gobCL" w:cs="gobCL"/>
              </w:rPr>
              <w:t>-Personas con discapacidad</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BC1FC10" w14:textId="77777777" w:rsidR="003777B2" w:rsidRDefault="003777B2" w:rsidP="00C413AE">
            <w:pPr>
              <w:jc w:val="center"/>
              <w:rPr>
                <w:rFonts w:ascii="gobCL" w:eastAsia="gobCL" w:hAnsi="gobCL" w:cs="gobCL"/>
                <w:b/>
              </w:rPr>
            </w:pPr>
          </w:p>
          <w:p w14:paraId="0BEFE5BB" w14:textId="77777777" w:rsidR="003777B2" w:rsidRDefault="003777B2" w:rsidP="00C413AE">
            <w:pPr>
              <w:jc w:val="center"/>
              <w:rPr>
                <w:rFonts w:ascii="gobCL" w:eastAsia="gobCL" w:hAnsi="gobCL" w:cs="gobCL"/>
                <w:b/>
              </w:rPr>
            </w:pPr>
            <w:r>
              <w:rPr>
                <w:rFonts w:ascii="gobCL" w:eastAsia="gobCL" w:hAnsi="gobCL" w:cs="gobCL"/>
                <w:b/>
              </w:rPr>
              <w:t>4</w:t>
            </w:r>
          </w:p>
        </w:tc>
        <w:tc>
          <w:tcPr>
            <w:tcW w:w="23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D4CEA6A" w14:textId="77777777" w:rsidR="003777B2" w:rsidRDefault="003777B2" w:rsidP="00C413AE">
            <w:pPr>
              <w:jc w:val="center"/>
              <w:rPr>
                <w:rFonts w:ascii="gobCL" w:eastAsia="gobCL" w:hAnsi="gobCL" w:cs="gobCL"/>
                <w:b/>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5AC98FD1" w14:textId="77777777" w:rsidR="003777B2" w:rsidRDefault="003777B2" w:rsidP="00C413AE">
            <w:pPr>
              <w:jc w:val="center"/>
              <w:rPr>
                <w:rFonts w:ascii="gobCL" w:eastAsia="gobCL" w:hAnsi="gobCL" w:cs="gobCL"/>
                <w:b/>
              </w:rPr>
            </w:pPr>
          </w:p>
        </w:tc>
      </w:tr>
      <w:tr w:rsidR="003777B2" w14:paraId="1B2B184B" w14:textId="77777777" w:rsidTr="00C413AE">
        <w:trPr>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5AD7A6" w14:textId="77777777" w:rsidR="003777B2" w:rsidRDefault="003777B2"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Criterio 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0FED6C" w14:textId="77777777" w:rsidR="003777B2" w:rsidRDefault="003777B2"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Nota</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141FAD" w14:textId="77777777" w:rsidR="003777B2" w:rsidRDefault="003777B2"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1008B6" w14:textId="77777777" w:rsidR="003777B2" w:rsidRDefault="003777B2"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Ponderación</w:t>
            </w:r>
          </w:p>
        </w:tc>
      </w:tr>
      <w:tr w:rsidR="003777B2" w14:paraId="2C92C4DD" w14:textId="77777777" w:rsidTr="00C413AE">
        <w:trPr>
          <w:trHeight w:val="715"/>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4FB78E" w14:textId="77777777" w:rsidR="003777B2" w:rsidRPr="00A44C53" w:rsidRDefault="003777B2" w:rsidP="00C413AE">
            <w:pPr>
              <w:jc w:val="both"/>
              <w:rPr>
                <w:rFonts w:ascii="gobCL" w:eastAsia="gobCL" w:hAnsi="gobCL" w:cs="gobCL"/>
                <w:bCs/>
              </w:rPr>
            </w:pPr>
            <w:r w:rsidRPr="00A44C53">
              <w:rPr>
                <w:rFonts w:ascii="gobCL" w:eastAsia="gobCL" w:hAnsi="gobCL" w:cs="gobCL"/>
                <w:bCs/>
              </w:rPr>
              <w:t>Se priorizara aquellos almacenes de la provincia del Tamarugal que se encuentren ubicados en las siguientes comunas:</w:t>
            </w:r>
          </w:p>
          <w:p w14:paraId="1041B947" w14:textId="77777777" w:rsidR="003777B2" w:rsidRPr="00A44C53" w:rsidRDefault="003777B2" w:rsidP="00C413AE">
            <w:pPr>
              <w:jc w:val="both"/>
              <w:rPr>
                <w:rFonts w:ascii="gobCL" w:eastAsia="gobCL" w:hAnsi="gobCL" w:cs="gobCL"/>
                <w:bCs/>
              </w:rPr>
            </w:pPr>
            <w:r w:rsidRPr="00A44C53">
              <w:rPr>
                <w:rFonts w:ascii="gobCL" w:eastAsia="gobCL" w:hAnsi="gobCL" w:cs="gobCL"/>
                <w:bCs/>
              </w:rPr>
              <w:t>-Camiña</w:t>
            </w:r>
          </w:p>
          <w:p w14:paraId="446D817B" w14:textId="77777777" w:rsidR="003777B2" w:rsidRPr="00A44C53" w:rsidRDefault="003777B2" w:rsidP="00C413AE">
            <w:pPr>
              <w:jc w:val="both"/>
              <w:rPr>
                <w:rFonts w:ascii="gobCL" w:eastAsia="gobCL" w:hAnsi="gobCL" w:cs="gobCL"/>
                <w:bCs/>
              </w:rPr>
            </w:pPr>
            <w:r w:rsidRPr="00A44C53">
              <w:rPr>
                <w:rFonts w:ascii="gobCL" w:eastAsia="gobCL" w:hAnsi="gobCL" w:cs="gobCL"/>
                <w:bCs/>
              </w:rPr>
              <w:t xml:space="preserve">-Colchane </w:t>
            </w:r>
          </w:p>
          <w:p w14:paraId="380D175D" w14:textId="77777777" w:rsidR="003777B2" w:rsidRPr="00A44C53" w:rsidRDefault="003777B2" w:rsidP="00C413AE">
            <w:pPr>
              <w:jc w:val="both"/>
              <w:rPr>
                <w:rFonts w:ascii="gobCL" w:eastAsia="gobCL" w:hAnsi="gobCL" w:cs="gobCL"/>
                <w:bCs/>
              </w:rPr>
            </w:pPr>
            <w:r w:rsidRPr="00A44C53">
              <w:rPr>
                <w:rFonts w:ascii="gobCL" w:eastAsia="gobCL" w:hAnsi="gobCL" w:cs="gobCL"/>
                <w:bCs/>
              </w:rPr>
              <w:t>-Huara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460FCB" w14:textId="77777777" w:rsidR="003777B2" w:rsidRPr="00A44C53" w:rsidRDefault="003777B2" w:rsidP="00C413AE">
            <w:pPr>
              <w:jc w:val="center"/>
              <w:rPr>
                <w:rFonts w:ascii="gobCL" w:eastAsia="gobCL" w:hAnsi="gobCL" w:cs="gobCL"/>
              </w:rPr>
            </w:pPr>
          </w:p>
          <w:p w14:paraId="3FD8C3C0" w14:textId="77777777" w:rsidR="003777B2" w:rsidRPr="00A44C53" w:rsidRDefault="003777B2" w:rsidP="00C413AE">
            <w:pPr>
              <w:jc w:val="center"/>
              <w:rPr>
                <w:rFonts w:ascii="gobCL" w:eastAsia="gobCL" w:hAnsi="gobCL" w:cs="gobCL"/>
              </w:rPr>
            </w:pPr>
          </w:p>
          <w:p w14:paraId="79DA70E4" w14:textId="77777777" w:rsidR="003777B2" w:rsidRPr="00A44C53" w:rsidRDefault="003777B2" w:rsidP="00C413AE">
            <w:pPr>
              <w:jc w:val="center"/>
              <w:rPr>
                <w:rFonts w:ascii="gobCL" w:eastAsia="gobCL" w:hAnsi="gobCL" w:cs="gobCL"/>
              </w:rPr>
            </w:pPr>
          </w:p>
          <w:p w14:paraId="4C29DA5B" w14:textId="77777777" w:rsidR="003777B2" w:rsidRPr="00A44C53" w:rsidRDefault="003777B2" w:rsidP="00C413AE">
            <w:pPr>
              <w:jc w:val="center"/>
              <w:rPr>
                <w:rFonts w:ascii="gobCL" w:eastAsia="gobCL" w:hAnsi="gobCL" w:cs="gobCL"/>
              </w:rPr>
            </w:pPr>
            <w:r w:rsidRPr="00A44C53">
              <w:rPr>
                <w:rFonts w:ascii="gobCL" w:eastAsia="gobCL" w:hAnsi="gobCL" w:cs="gobCL"/>
              </w:rPr>
              <w:t>7</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AAB4E3" w14:textId="77777777" w:rsidR="003777B2" w:rsidRPr="00A44C53" w:rsidRDefault="003777B2" w:rsidP="00C413AE">
            <w:pPr>
              <w:rPr>
                <w:rFonts w:ascii="gobCL" w:eastAsia="gobCL" w:hAnsi="gobCL" w:cs="gobCL"/>
              </w:rPr>
            </w:pPr>
            <w:r w:rsidRPr="00A44C53">
              <w:rPr>
                <w:rFonts w:ascii="gobCL" w:eastAsia="gobCL" w:hAnsi="gobCL" w:cs="gobCL"/>
              </w:rPr>
              <w:t>Se verificara a través de la dirección ingresada en el Servicio de Impuestos internos, mediante carpeta tributaria</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BEA74E2" w14:textId="77777777" w:rsidR="003777B2" w:rsidRPr="00A44C53" w:rsidRDefault="003777B2" w:rsidP="00C413AE">
            <w:pPr>
              <w:jc w:val="center"/>
              <w:rPr>
                <w:rFonts w:ascii="gobCL" w:eastAsia="gobCL" w:hAnsi="gobCL" w:cs="gobCL"/>
              </w:rPr>
            </w:pPr>
            <w:r w:rsidRPr="00A44C53">
              <w:rPr>
                <w:rFonts w:ascii="gobCL" w:eastAsia="gobCL" w:hAnsi="gobCL" w:cs="gobCL"/>
              </w:rPr>
              <w:t>20%</w:t>
            </w:r>
          </w:p>
        </w:tc>
      </w:tr>
      <w:tr w:rsidR="003777B2" w14:paraId="62479A76" w14:textId="77777777" w:rsidTr="00C413AE">
        <w:trPr>
          <w:trHeight w:val="715"/>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97260F" w14:textId="77777777" w:rsidR="003777B2" w:rsidRPr="00A44C53" w:rsidRDefault="003777B2" w:rsidP="00C413AE">
            <w:pPr>
              <w:jc w:val="both"/>
              <w:rPr>
                <w:rFonts w:ascii="gobCL" w:eastAsia="gobCL" w:hAnsi="gobCL" w:cs="gobCL"/>
                <w:bCs/>
              </w:rPr>
            </w:pPr>
            <w:r w:rsidRPr="00A44C53">
              <w:rPr>
                <w:rFonts w:ascii="gobCL" w:eastAsia="gobCL" w:hAnsi="gobCL" w:cs="gobCL"/>
                <w:bCs/>
              </w:rPr>
              <w:t>Los almacenes que</w:t>
            </w:r>
            <w:r>
              <w:rPr>
                <w:rFonts w:ascii="gobCL" w:eastAsia="gobCL" w:hAnsi="gobCL" w:cs="gobCL"/>
                <w:bCs/>
              </w:rPr>
              <w:t xml:space="preserve"> </w:t>
            </w:r>
            <w:r w:rsidRPr="00A44C53">
              <w:rPr>
                <w:rFonts w:ascii="gobCL" w:eastAsia="gobCL" w:hAnsi="gobCL" w:cs="gobCL"/>
                <w:b/>
              </w:rPr>
              <w:t>NO</w:t>
            </w:r>
            <w:r w:rsidRPr="00A44C53">
              <w:rPr>
                <w:rFonts w:ascii="gobCL" w:eastAsia="gobCL" w:hAnsi="gobCL" w:cs="gobCL"/>
                <w:bCs/>
              </w:rPr>
              <w:t xml:space="preserve"> se encuentren ubicados en</w:t>
            </w:r>
            <w:r>
              <w:rPr>
                <w:rFonts w:ascii="gobCL" w:eastAsia="gobCL" w:hAnsi="gobCL" w:cs="gobCL"/>
                <w:bCs/>
              </w:rPr>
              <w:t xml:space="preserve"> las siguientes</w:t>
            </w:r>
            <w:r w:rsidRPr="00A44C53">
              <w:rPr>
                <w:rFonts w:ascii="gobCL" w:eastAsia="gobCL" w:hAnsi="gobCL" w:cs="gobCL"/>
                <w:bCs/>
              </w:rPr>
              <w:t xml:space="preserve"> comunas de la provincia del Tamarugal:</w:t>
            </w:r>
          </w:p>
          <w:p w14:paraId="629BC3C5" w14:textId="77777777" w:rsidR="003777B2" w:rsidRPr="00A44C53" w:rsidRDefault="003777B2" w:rsidP="00C413AE">
            <w:pPr>
              <w:jc w:val="both"/>
              <w:rPr>
                <w:rFonts w:ascii="gobCL" w:eastAsia="gobCL" w:hAnsi="gobCL" w:cs="gobCL"/>
                <w:bCs/>
              </w:rPr>
            </w:pPr>
            <w:r w:rsidRPr="00A44C53">
              <w:rPr>
                <w:rFonts w:ascii="gobCL" w:eastAsia="gobCL" w:hAnsi="gobCL" w:cs="gobCL"/>
                <w:bCs/>
              </w:rPr>
              <w:t>-Camiña</w:t>
            </w:r>
          </w:p>
          <w:p w14:paraId="0CB250DC" w14:textId="77777777" w:rsidR="003777B2" w:rsidRPr="00A44C53" w:rsidRDefault="003777B2" w:rsidP="00C413AE">
            <w:pPr>
              <w:jc w:val="both"/>
              <w:rPr>
                <w:rFonts w:ascii="gobCL" w:eastAsia="gobCL" w:hAnsi="gobCL" w:cs="gobCL"/>
                <w:bCs/>
              </w:rPr>
            </w:pPr>
            <w:r w:rsidRPr="00A44C53">
              <w:rPr>
                <w:rFonts w:ascii="gobCL" w:eastAsia="gobCL" w:hAnsi="gobCL" w:cs="gobCL"/>
                <w:bCs/>
              </w:rPr>
              <w:t>-Colchane</w:t>
            </w:r>
          </w:p>
          <w:p w14:paraId="2FD4B7CD" w14:textId="77777777" w:rsidR="003777B2" w:rsidRPr="00A44C53" w:rsidRDefault="003777B2" w:rsidP="00C413AE">
            <w:pPr>
              <w:jc w:val="both"/>
              <w:rPr>
                <w:rFonts w:ascii="gobCL" w:eastAsia="gobCL" w:hAnsi="gobCL" w:cs="gobCL"/>
                <w:bCs/>
                <w:highlight w:val="yellow"/>
              </w:rPr>
            </w:pPr>
            <w:r w:rsidRPr="00A44C53">
              <w:rPr>
                <w:rFonts w:ascii="gobCL" w:eastAsia="gobCL" w:hAnsi="gobCL" w:cs="gobCL"/>
                <w:bCs/>
              </w:rPr>
              <w:t>-Huara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9C0FF0" w14:textId="77777777" w:rsidR="003777B2" w:rsidRPr="00A44C53" w:rsidRDefault="003777B2" w:rsidP="00C413AE">
            <w:pPr>
              <w:jc w:val="center"/>
              <w:rPr>
                <w:rFonts w:ascii="gobCL" w:eastAsia="gobCL" w:hAnsi="gobCL" w:cs="gobCL"/>
              </w:rPr>
            </w:pPr>
          </w:p>
          <w:p w14:paraId="141C2336" w14:textId="77777777" w:rsidR="003777B2" w:rsidRPr="00A44C53" w:rsidRDefault="003777B2" w:rsidP="00C413AE">
            <w:pPr>
              <w:rPr>
                <w:rFonts w:ascii="gobCL" w:eastAsia="gobCL" w:hAnsi="gobCL" w:cs="gobCL"/>
              </w:rPr>
            </w:pPr>
          </w:p>
          <w:p w14:paraId="167F8ADD" w14:textId="77777777" w:rsidR="003777B2" w:rsidRPr="00A44C53" w:rsidRDefault="003777B2" w:rsidP="00C413AE">
            <w:pPr>
              <w:rPr>
                <w:rFonts w:ascii="gobCL" w:eastAsia="gobCL" w:hAnsi="gobCL" w:cs="gobCL"/>
              </w:rPr>
            </w:pPr>
          </w:p>
          <w:p w14:paraId="35FEF543" w14:textId="77777777" w:rsidR="003777B2" w:rsidRPr="00A44C53" w:rsidRDefault="003777B2" w:rsidP="00C413AE">
            <w:pPr>
              <w:jc w:val="center"/>
              <w:rPr>
                <w:rFonts w:ascii="gobCL" w:eastAsia="gobCL" w:hAnsi="gobCL" w:cs="gobCL"/>
              </w:rPr>
            </w:pPr>
            <w:r w:rsidRPr="00A44C53">
              <w:rPr>
                <w:rFonts w:ascii="gobCL" w:eastAsia="gobCL" w:hAnsi="gobCL" w:cs="gobCL"/>
              </w:rPr>
              <w:t>4</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13CEEE" w14:textId="77777777" w:rsidR="003777B2" w:rsidRPr="00A44C53" w:rsidRDefault="003777B2" w:rsidP="00C413AE">
            <w:pPr>
              <w:rPr>
                <w:rFonts w:ascii="gobCL" w:eastAsia="gobCL" w:hAnsi="gobCL" w:cs="gobCL"/>
              </w:rPr>
            </w:pPr>
            <w:r w:rsidRPr="00A44C53">
              <w:rPr>
                <w:rFonts w:ascii="gobCL" w:eastAsia="gobCL" w:hAnsi="gobCL" w:cs="gobCL"/>
              </w:rPr>
              <w:t>Se verificara a través de la dirección ingresada en el Servicio de Impuestos internos, mediante carpeta tributaria</w:t>
            </w: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F62DCB" w14:textId="77777777" w:rsidR="003777B2" w:rsidRDefault="003777B2" w:rsidP="00C413AE">
            <w:pPr>
              <w:jc w:val="center"/>
              <w:rPr>
                <w:rFonts w:ascii="gobCL" w:eastAsia="gobCL" w:hAnsi="gobCL" w:cs="gobCL"/>
                <w:sz w:val="20"/>
                <w:szCs w:val="20"/>
              </w:rPr>
            </w:pPr>
          </w:p>
        </w:tc>
      </w:tr>
    </w:tbl>
    <w:p w14:paraId="58A8C9A9" w14:textId="3EE65139" w:rsidR="007F7375" w:rsidRDefault="007F7375" w:rsidP="007F7375">
      <w:pPr>
        <w:pBdr>
          <w:top w:val="nil"/>
          <w:left w:val="nil"/>
          <w:bottom w:val="nil"/>
          <w:right w:val="nil"/>
          <w:between w:val="nil"/>
        </w:pBdr>
        <w:spacing w:after="0" w:line="240" w:lineRule="auto"/>
        <w:ind w:left="426"/>
        <w:rPr>
          <w:rFonts w:ascii="Arial" w:eastAsia="gobCL" w:hAnsi="Arial" w:cs="Arial"/>
          <w:color w:val="000000"/>
        </w:rPr>
      </w:pPr>
    </w:p>
    <w:p w14:paraId="24C6BF0A" w14:textId="5189469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A65EB3F" w14:textId="67023DF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C10CBEE" w14:textId="3B1CAA2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B7DEC0" w14:textId="5FABEF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21B5FEA" w14:textId="2E04496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57FB98B" w14:textId="5183DC2D"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AA278CC" w14:textId="0BEDCCF1"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CDBE0D0" w14:textId="751000A9"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01F64E35" w14:textId="0ECD6BE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9B16A3C" w14:textId="6469E6D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DCA3799" w14:textId="0377BAA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3417F80" w14:textId="7487BFD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6D7B0A5" w14:textId="07BEB9F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AF0F293" w14:textId="66D7C51E"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EB1F69F" w14:textId="567BB94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3803501" w14:textId="64EE0E3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BA326D3" w14:textId="52A33ED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BAD839C" w14:textId="2CDC791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11E453E" w14:textId="05CD253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A1A8E79" w14:textId="5FE55A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CD93F5D" w14:textId="033C0149"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00A045E" w14:textId="2A3AFF0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456B152" w14:textId="1153673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7AAD31D" w14:textId="038BF1E4"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ACB6FA7" w14:textId="3790A43D"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2F987F5" w14:textId="0D660BF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EE52F7D" w14:textId="2D69F71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38FB21" w14:textId="14DF976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0C02A40" w14:textId="386257A2"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FC8B1A7" w14:textId="1E9EAE3B"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88EDDD5" w14:textId="324F69A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B95B12B" w14:textId="7641133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98A79D3" w14:textId="071B88A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3B84740" w14:textId="524F9430" w:rsidR="00C05310" w:rsidRPr="008C4570" w:rsidRDefault="008D3FED" w:rsidP="0087229B">
      <w:pPr>
        <w:pStyle w:val="Ttulo1"/>
        <w:jc w:val="center"/>
        <w:rPr>
          <w:rFonts w:ascii="Arial" w:hAnsi="Arial" w:cs="Arial"/>
          <w:sz w:val="22"/>
        </w:rPr>
      </w:pPr>
      <w:bookmarkStart w:id="176" w:name="_Toc132399460"/>
      <w:r w:rsidRPr="008C4570">
        <w:rPr>
          <w:rFonts w:ascii="Arial" w:hAnsi="Arial" w:cs="Arial"/>
          <w:sz w:val="22"/>
        </w:rPr>
        <w:t xml:space="preserve">ANEXO N° </w:t>
      </w:r>
      <w:r w:rsidR="00C136D7" w:rsidRPr="008C4570">
        <w:rPr>
          <w:rFonts w:ascii="Arial" w:hAnsi="Arial" w:cs="Arial"/>
          <w:sz w:val="22"/>
        </w:rPr>
        <w:t>8</w:t>
      </w:r>
      <w:bookmarkEnd w:id="176"/>
    </w:p>
    <w:p w14:paraId="1CBA1012" w14:textId="283245C6" w:rsidR="00670328" w:rsidRPr="008C4570" w:rsidRDefault="008D3FED" w:rsidP="00DC4EE7">
      <w:pPr>
        <w:pStyle w:val="Sinespaciado"/>
        <w:jc w:val="center"/>
        <w:rPr>
          <w:rFonts w:ascii="Arial" w:hAnsi="Arial" w:cs="Arial"/>
          <w:b/>
          <w:sz w:val="24"/>
        </w:rPr>
      </w:pPr>
      <w:bookmarkStart w:id="177" w:name="_Toc99968187"/>
      <w:r w:rsidRPr="008C4570">
        <w:rPr>
          <w:rFonts w:ascii="Arial" w:hAnsi="Arial" w:cs="Arial"/>
          <w:b/>
          <w:sz w:val="24"/>
        </w:rPr>
        <w:t>CRITERIOS DE EVALUACIÓN DEL COMITÉ DE EVALUACIÓN REGIONAL</w:t>
      </w:r>
      <w:bookmarkEnd w:id="177"/>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8" w:name="_Toc132399461"/>
      <w:r w:rsidRPr="008C4570">
        <w:rPr>
          <w:rFonts w:ascii="Arial" w:hAnsi="Arial" w:cs="Arial"/>
          <w:sz w:val="22"/>
          <w:lang w:val="es-ES"/>
        </w:rPr>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8"/>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1"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08A73" w14:textId="77777777" w:rsidR="00E2609E" w:rsidRDefault="00E2609E">
      <w:pPr>
        <w:spacing w:after="0" w:line="240" w:lineRule="auto"/>
      </w:pPr>
      <w:r>
        <w:separator/>
      </w:r>
    </w:p>
  </w:endnote>
  <w:endnote w:type="continuationSeparator" w:id="0">
    <w:p w14:paraId="566C4E64" w14:textId="77777777" w:rsidR="00E2609E" w:rsidRDefault="00E2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4DB1B644"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547D8D">
      <w:rPr>
        <w:rFonts w:ascii="gobCL" w:eastAsia="gobCL" w:hAnsi="gobCL" w:cs="gobCL"/>
        <w:noProof/>
        <w:color w:val="000000"/>
        <w:sz w:val="20"/>
        <w:szCs w:val="20"/>
      </w:rPr>
      <w:t>3</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A5E0" w14:textId="77777777" w:rsidR="00E2609E" w:rsidRDefault="00E2609E">
      <w:pPr>
        <w:spacing w:after="0" w:line="240" w:lineRule="auto"/>
      </w:pPr>
      <w:r>
        <w:separator/>
      </w:r>
    </w:p>
  </w:footnote>
  <w:footnote w:type="continuationSeparator" w:id="0">
    <w:p w14:paraId="49AFA103" w14:textId="77777777" w:rsidR="00E2609E" w:rsidRDefault="00E2609E">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3"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4F4188"/>
    <w:multiLevelType w:val="multilevel"/>
    <w:tmpl w:val="7354C336"/>
    <w:numStyleLink w:val="Estilo1"/>
  </w:abstractNum>
  <w:abstractNum w:abstractNumId="41"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0"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1"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4"/>
  </w:num>
  <w:num w:numId="3">
    <w:abstractNumId w:val="18"/>
  </w:num>
  <w:num w:numId="4">
    <w:abstractNumId w:val="25"/>
  </w:num>
  <w:num w:numId="5">
    <w:abstractNumId w:val="28"/>
  </w:num>
  <w:num w:numId="6">
    <w:abstractNumId w:val="31"/>
  </w:num>
  <w:num w:numId="7">
    <w:abstractNumId w:val="2"/>
  </w:num>
  <w:num w:numId="8">
    <w:abstractNumId w:val="19"/>
  </w:num>
  <w:num w:numId="9">
    <w:abstractNumId w:val="42"/>
  </w:num>
  <w:num w:numId="10">
    <w:abstractNumId w:val="46"/>
  </w:num>
  <w:num w:numId="11">
    <w:abstractNumId w:val="8"/>
  </w:num>
  <w:num w:numId="12">
    <w:abstractNumId w:val="17"/>
  </w:num>
  <w:num w:numId="13">
    <w:abstractNumId w:val="9"/>
  </w:num>
  <w:num w:numId="14">
    <w:abstractNumId w:val="39"/>
  </w:num>
  <w:num w:numId="15">
    <w:abstractNumId w:val="10"/>
  </w:num>
  <w:num w:numId="16">
    <w:abstractNumId w:val="23"/>
  </w:num>
  <w:num w:numId="17">
    <w:abstractNumId w:val="7"/>
  </w:num>
  <w:num w:numId="18">
    <w:abstractNumId w:val="36"/>
  </w:num>
  <w:num w:numId="19">
    <w:abstractNumId w:val="47"/>
  </w:num>
  <w:num w:numId="20">
    <w:abstractNumId w:val="44"/>
  </w:num>
  <w:num w:numId="21">
    <w:abstractNumId w:val="12"/>
  </w:num>
  <w:num w:numId="22">
    <w:abstractNumId w:val="29"/>
  </w:num>
  <w:num w:numId="23">
    <w:abstractNumId w:val="49"/>
  </w:num>
  <w:num w:numId="24">
    <w:abstractNumId w:val="41"/>
  </w:num>
  <w:num w:numId="25">
    <w:abstractNumId w:val="50"/>
  </w:num>
  <w:num w:numId="26">
    <w:abstractNumId w:val="45"/>
  </w:num>
  <w:num w:numId="27">
    <w:abstractNumId w:val="13"/>
  </w:num>
  <w:num w:numId="28">
    <w:abstractNumId w:val="15"/>
  </w:num>
  <w:num w:numId="29">
    <w:abstractNumId w:val="33"/>
  </w:num>
  <w:num w:numId="30">
    <w:abstractNumId w:val="26"/>
  </w:num>
  <w:num w:numId="31">
    <w:abstractNumId w:val="43"/>
  </w:num>
  <w:num w:numId="32">
    <w:abstractNumId w:val="40"/>
  </w:num>
  <w:num w:numId="33">
    <w:abstractNumId w:val="30"/>
  </w:num>
  <w:num w:numId="34">
    <w:abstractNumId w:val="21"/>
  </w:num>
  <w:num w:numId="35">
    <w:abstractNumId w:val="6"/>
  </w:num>
  <w:num w:numId="36">
    <w:abstractNumId w:val="35"/>
  </w:num>
  <w:num w:numId="37">
    <w:abstractNumId w:val="16"/>
  </w:num>
  <w:num w:numId="38">
    <w:abstractNumId w:val="51"/>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8"/>
  </w:num>
  <w:num w:numId="43">
    <w:abstractNumId w:val="48"/>
  </w:num>
  <w:num w:numId="44">
    <w:abstractNumId w:val="1"/>
  </w:num>
  <w:num w:numId="45">
    <w:abstractNumId w:val="37"/>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2"/>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651F"/>
    <w:rsid w:val="00036A3F"/>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FF0"/>
    <w:rsid w:val="00122B81"/>
    <w:rsid w:val="00132AEB"/>
    <w:rsid w:val="00141169"/>
    <w:rsid w:val="001450A2"/>
    <w:rsid w:val="00145F1A"/>
    <w:rsid w:val="00147F82"/>
    <w:rsid w:val="00152BC6"/>
    <w:rsid w:val="00156E09"/>
    <w:rsid w:val="001619F3"/>
    <w:rsid w:val="00163CAE"/>
    <w:rsid w:val="00167EAF"/>
    <w:rsid w:val="00172B8B"/>
    <w:rsid w:val="00173129"/>
    <w:rsid w:val="001752BA"/>
    <w:rsid w:val="001773B9"/>
    <w:rsid w:val="0018088F"/>
    <w:rsid w:val="00181572"/>
    <w:rsid w:val="00182727"/>
    <w:rsid w:val="00186F67"/>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39E"/>
    <w:rsid w:val="001F4E53"/>
    <w:rsid w:val="001F5DFD"/>
    <w:rsid w:val="001F6520"/>
    <w:rsid w:val="002009E2"/>
    <w:rsid w:val="00202BBC"/>
    <w:rsid w:val="0020514E"/>
    <w:rsid w:val="00206BE7"/>
    <w:rsid w:val="00216DD1"/>
    <w:rsid w:val="00223942"/>
    <w:rsid w:val="00223B9B"/>
    <w:rsid w:val="0024640E"/>
    <w:rsid w:val="002573A5"/>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1A79"/>
    <w:rsid w:val="002F751E"/>
    <w:rsid w:val="0030658A"/>
    <w:rsid w:val="003073EF"/>
    <w:rsid w:val="003333D3"/>
    <w:rsid w:val="00333B81"/>
    <w:rsid w:val="00334A8F"/>
    <w:rsid w:val="003422A3"/>
    <w:rsid w:val="003452B8"/>
    <w:rsid w:val="0034747B"/>
    <w:rsid w:val="00351F38"/>
    <w:rsid w:val="00355468"/>
    <w:rsid w:val="00364CF1"/>
    <w:rsid w:val="0036510B"/>
    <w:rsid w:val="003757DD"/>
    <w:rsid w:val="003764A6"/>
    <w:rsid w:val="003777B2"/>
    <w:rsid w:val="00383A54"/>
    <w:rsid w:val="00392C10"/>
    <w:rsid w:val="00393132"/>
    <w:rsid w:val="00393C10"/>
    <w:rsid w:val="003940CE"/>
    <w:rsid w:val="00395235"/>
    <w:rsid w:val="003A44D3"/>
    <w:rsid w:val="003A6185"/>
    <w:rsid w:val="003A627E"/>
    <w:rsid w:val="003B08D4"/>
    <w:rsid w:val="003B363F"/>
    <w:rsid w:val="003B6CCE"/>
    <w:rsid w:val="003C1BCD"/>
    <w:rsid w:val="003D16DA"/>
    <w:rsid w:val="003E002C"/>
    <w:rsid w:val="003F0A10"/>
    <w:rsid w:val="003F140A"/>
    <w:rsid w:val="003F152E"/>
    <w:rsid w:val="003F1F63"/>
    <w:rsid w:val="003F595A"/>
    <w:rsid w:val="0040077C"/>
    <w:rsid w:val="00402BEE"/>
    <w:rsid w:val="0040366B"/>
    <w:rsid w:val="00404C93"/>
    <w:rsid w:val="00407924"/>
    <w:rsid w:val="00411944"/>
    <w:rsid w:val="00415F91"/>
    <w:rsid w:val="00416187"/>
    <w:rsid w:val="00416369"/>
    <w:rsid w:val="00417053"/>
    <w:rsid w:val="00420088"/>
    <w:rsid w:val="0042186C"/>
    <w:rsid w:val="004272CF"/>
    <w:rsid w:val="004414E2"/>
    <w:rsid w:val="004429A4"/>
    <w:rsid w:val="00444CC2"/>
    <w:rsid w:val="0045588F"/>
    <w:rsid w:val="00457F04"/>
    <w:rsid w:val="00462884"/>
    <w:rsid w:val="00463660"/>
    <w:rsid w:val="00470474"/>
    <w:rsid w:val="00475B91"/>
    <w:rsid w:val="00481CF6"/>
    <w:rsid w:val="00483147"/>
    <w:rsid w:val="00485B21"/>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408"/>
    <w:rsid w:val="0051753C"/>
    <w:rsid w:val="005200B1"/>
    <w:rsid w:val="005205B8"/>
    <w:rsid w:val="00530DD4"/>
    <w:rsid w:val="005319E3"/>
    <w:rsid w:val="00547D8D"/>
    <w:rsid w:val="00551456"/>
    <w:rsid w:val="00551BD8"/>
    <w:rsid w:val="005570B9"/>
    <w:rsid w:val="00560BA4"/>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70328"/>
    <w:rsid w:val="00672A20"/>
    <w:rsid w:val="00677266"/>
    <w:rsid w:val="00683869"/>
    <w:rsid w:val="00693A6C"/>
    <w:rsid w:val="00694374"/>
    <w:rsid w:val="006A1901"/>
    <w:rsid w:val="006A48F7"/>
    <w:rsid w:val="006A70EF"/>
    <w:rsid w:val="006B3ED5"/>
    <w:rsid w:val="006B4CD0"/>
    <w:rsid w:val="006C6DFB"/>
    <w:rsid w:val="006D0D5A"/>
    <w:rsid w:val="006F053F"/>
    <w:rsid w:val="006F22FE"/>
    <w:rsid w:val="006F2FDF"/>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60D1"/>
    <w:rsid w:val="0077000A"/>
    <w:rsid w:val="00774BE6"/>
    <w:rsid w:val="00775928"/>
    <w:rsid w:val="00791B81"/>
    <w:rsid w:val="00793E14"/>
    <w:rsid w:val="00793E6C"/>
    <w:rsid w:val="007B0494"/>
    <w:rsid w:val="007B4C69"/>
    <w:rsid w:val="007C082B"/>
    <w:rsid w:val="007C4BD7"/>
    <w:rsid w:val="007C5858"/>
    <w:rsid w:val="007C5A3A"/>
    <w:rsid w:val="007C7C76"/>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6250"/>
    <w:rsid w:val="008F0F21"/>
    <w:rsid w:val="008F21A3"/>
    <w:rsid w:val="008F3812"/>
    <w:rsid w:val="00900C34"/>
    <w:rsid w:val="009127FB"/>
    <w:rsid w:val="00916AB0"/>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C2284"/>
    <w:rsid w:val="00AC4EEB"/>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CCE"/>
    <w:rsid w:val="00BF079E"/>
    <w:rsid w:val="00C05310"/>
    <w:rsid w:val="00C07AA1"/>
    <w:rsid w:val="00C136D7"/>
    <w:rsid w:val="00C238B2"/>
    <w:rsid w:val="00C260FC"/>
    <w:rsid w:val="00C44C0B"/>
    <w:rsid w:val="00C50442"/>
    <w:rsid w:val="00C5391F"/>
    <w:rsid w:val="00C57908"/>
    <w:rsid w:val="00C622E8"/>
    <w:rsid w:val="00C72FBC"/>
    <w:rsid w:val="00C757E6"/>
    <w:rsid w:val="00C773E1"/>
    <w:rsid w:val="00C81D17"/>
    <w:rsid w:val="00C82C9C"/>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87237"/>
    <w:rsid w:val="00D9123D"/>
    <w:rsid w:val="00D94328"/>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2609E"/>
    <w:rsid w:val="00E33486"/>
    <w:rsid w:val="00E40220"/>
    <w:rsid w:val="00E412F9"/>
    <w:rsid w:val="00E4171E"/>
    <w:rsid w:val="00E5609D"/>
    <w:rsid w:val="00E57DFC"/>
    <w:rsid w:val="00E628F2"/>
    <w:rsid w:val="00E76A63"/>
    <w:rsid w:val="00E77D4A"/>
    <w:rsid w:val="00E77FB0"/>
    <w:rsid w:val="00E803E7"/>
    <w:rsid w:val="00E8089A"/>
    <w:rsid w:val="00E855F1"/>
    <w:rsid w:val="00E9393C"/>
    <w:rsid w:val="00EA4206"/>
    <w:rsid w:val="00EA610C"/>
    <w:rsid w:val="00EB09DB"/>
    <w:rsid w:val="00EB2EB7"/>
    <w:rsid w:val="00EB44F8"/>
    <w:rsid w:val="00EB7001"/>
    <w:rsid w:val="00EC3139"/>
    <w:rsid w:val="00EC3BEF"/>
    <w:rsid w:val="00ED3747"/>
    <w:rsid w:val="00EF77A6"/>
    <w:rsid w:val="00F0205F"/>
    <w:rsid w:val="00F05D9C"/>
    <w:rsid w:val="00F06C36"/>
    <w:rsid w:val="00F07C70"/>
    <w:rsid w:val="00F15E04"/>
    <w:rsid w:val="00F16242"/>
    <w:rsid w:val="00F23996"/>
    <w:rsid w:val="00F30C57"/>
    <w:rsid w:val="00F35720"/>
    <w:rsid w:val="00F424B2"/>
    <w:rsid w:val="00F44AA3"/>
    <w:rsid w:val="00F56C05"/>
    <w:rsid w:val="00F60859"/>
    <w:rsid w:val="00F67E06"/>
    <w:rsid w:val="00F74151"/>
    <w:rsid w:val="00F752BB"/>
    <w:rsid w:val="00F8101A"/>
    <w:rsid w:val="00F817F8"/>
    <w:rsid w:val="00F83873"/>
    <w:rsid w:val="00F845D8"/>
    <w:rsid w:val="00F87E4E"/>
    <w:rsid w:val="00F90C03"/>
    <w:rsid w:val="00F92CF1"/>
    <w:rsid w:val="00FA1FD3"/>
    <w:rsid w:val="00FA3F0C"/>
    <w:rsid w:val="00FB5FF4"/>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F6633-BCBE-4EDF-A58E-A92BDA9E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17932</Words>
  <Characters>98626</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5</cp:revision>
  <cp:lastPrinted>2023-04-17T21:50:00Z</cp:lastPrinted>
  <dcterms:created xsi:type="dcterms:W3CDTF">2023-04-15T01:19:00Z</dcterms:created>
  <dcterms:modified xsi:type="dcterms:W3CDTF">2023-04-17T21:50:00Z</dcterms:modified>
</cp:coreProperties>
</file>