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8E" w:rsidRDefault="006D788E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bookmarkStart w:id="0" w:name="_GoBack"/>
      <w:bookmarkEnd w:id="0"/>
    </w:p>
    <w:p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E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XPO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</w:t>
      </w:r>
      <w:r w:rsidR="009C3903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Navidad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SERCOTEC 2022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Región </w:t>
      </w:r>
      <w:r w:rsidR="009C3903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Atacama</w:t>
      </w:r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Es un servicio que apoya la participación de </w:t>
            </w:r>
            <w:r w:rsidR="009C3903">
              <w:rPr>
                <w:rFonts w:cstheme="minorHAnsi"/>
                <w:b w:val="0"/>
              </w:rPr>
              <w:t>41</w:t>
            </w:r>
            <w:r w:rsidRPr="006D3B87">
              <w:rPr>
                <w:rFonts w:cstheme="minorHAnsi"/>
                <w:b w:val="0"/>
              </w:rPr>
              <w:t xml:space="preserve"> micro y pequeñas empresas de la Región de </w:t>
            </w:r>
            <w:r w:rsidR="009C3903">
              <w:rPr>
                <w:rFonts w:cstheme="minorHAnsi"/>
                <w:b w:val="0"/>
              </w:rPr>
              <w:t>Atacama</w:t>
            </w:r>
            <w:r w:rsidRPr="006D3B87">
              <w:rPr>
                <w:rFonts w:cstheme="minorHAnsi"/>
                <w:b w:val="0"/>
              </w:rPr>
              <w:t xml:space="preserve"> en un evento de exposición, que se ejecutará durante la Semana de la Pyme en la región, con el fin de facilitarles una vitrina que contribuya a la promoción y comercialización de sus productos y/o servicios, y a la generación de relaciones de negocio sostenida en el tiempo.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La modalidad de este servicio será mediante la realización de una EXPO que durará 3 días en </w:t>
            </w:r>
            <w:r w:rsidR="004B2252">
              <w:rPr>
                <w:rFonts w:cstheme="minorHAnsi"/>
                <w:b w:val="0"/>
              </w:rPr>
              <w:t xml:space="preserve">la ciudad de </w:t>
            </w:r>
            <w:r w:rsidR="009C3903">
              <w:rPr>
                <w:rFonts w:cstheme="minorHAnsi"/>
                <w:b w:val="0"/>
              </w:rPr>
              <w:t xml:space="preserve">Copiapó </w:t>
            </w:r>
            <w:r w:rsidRPr="006D3B87">
              <w:rPr>
                <w:rFonts w:cstheme="minorHAnsi"/>
                <w:b w:val="0"/>
              </w:rPr>
              <w:t xml:space="preserve">región de </w:t>
            </w:r>
            <w:r w:rsidR="009C3903">
              <w:rPr>
                <w:rFonts w:cstheme="minorHAnsi"/>
                <w:b w:val="0"/>
              </w:rPr>
              <w:t xml:space="preserve">Atacama </w:t>
            </w:r>
            <w:r w:rsidRPr="006D3B87">
              <w:rPr>
                <w:rFonts w:cstheme="minorHAnsi"/>
                <w:b w:val="0"/>
              </w:rPr>
              <w:t xml:space="preserve">con gran afluencia de público definido por la Dirección Regional. 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El servicio contempla dos etapas.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Primera etapa: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Una actividad de Preparación y de Capacitación a los empresarios participantes que deberá contemplar los siguientes temas (previa a la Expo): Aspectos tributarios para participar en una Expo, Acciones de Seguridad Sanitaria (Covid19), Técnicas de ventas y estrategias de gestión y comercialización en exposiciones, capacitación de conocimientos en temas relacionados con atención de clientes, imagen de marca, vitrinaje y montaje de productos.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Segunda Etapa: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Realización de Evento de Exposición, el será realizado los días </w:t>
            </w:r>
            <w:r w:rsidR="009C3903">
              <w:rPr>
                <w:rFonts w:cstheme="minorHAnsi"/>
                <w:b w:val="0"/>
              </w:rPr>
              <w:t>30</w:t>
            </w:r>
            <w:r>
              <w:rPr>
                <w:rFonts w:cstheme="minorHAnsi"/>
                <w:b w:val="0"/>
              </w:rPr>
              <w:t xml:space="preserve"> de noviembre</w:t>
            </w:r>
            <w:r w:rsidR="009C3903">
              <w:rPr>
                <w:rFonts w:cstheme="minorHAnsi"/>
                <w:b w:val="0"/>
              </w:rPr>
              <w:t xml:space="preserve">, 1 y 2 de diciembre </w:t>
            </w:r>
            <w:r>
              <w:rPr>
                <w:rFonts w:cstheme="minorHAnsi"/>
                <w:b w:val="0"/>
              </w:rPr>
              <w:t xml:space="preserve"> 2022, </w:t>
            </w:r>
            <w:r w:rsidRPr="006D3B87">
              <w:rPr>
                <w:rFonts w:cstheme="minorHAnsi"/>
                <w:b w:val="0"/>
              </w:rPr>
              <w:t>de 10:</w:t>
            </w:r>
            <w:r w:rsidR="009C3903">
              <w:rPr>
                <w:rFonts w:cstheme="minorHAnsi"/>
                <w:b w:val="0"/>
              </w:rPr>
              <w:t>00 a 19</w:t>
            </w:r>
            <w:r w:rsidRPr="006D3B87">
              <w:rPr>
                <w:rFonts w:cstheme="minorHAnsi"/>
                <w:b w:val="0"/>
              </w:rPr>
              <w:t xml:space="preserve">:00hrs., </w:t>
            </w:r>
            <w:r w:rsidR="009C3903">
              <w:rPr>
                <w:rFonts w:cstheme="minorHAnsi"/>
                <w:b w:val="0"/>
              </w:rPr>
              <w:t xml:space="preserve">en la plaza de armas de Copiapó, </w:t>
            </w:r>
            <w:r w:rsidRPr="006D3B87">
              <w:rPr>
                <w:rFonts w:cstheme="minorHAnsi"/>
                <w:b w:val="0"/>
              </w:rPr>
              <w:t xml:space="preserve">donde las empresas participantes podrán exhibir sus productos y/o servicios. </w:t>
            </w:r>
          </w:p>
          <w:p w:rsid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Se dispondrá de </w:t>
            </w:r>
            <w:r w:rsidR="00C73BBD">
              <w:rPr>
                <w:rFonts w:cstheme="minorHAnsi"/>
                <w:b w:val="0"/>
              </w:rPr>
              <w:t>2</w:t>
            </w:r>
            <w:r w:rsidRPr="006D3B87">
              <w:rPr>
                <w:rFonts w:cstheme="minorHAnsi"/>
                <w:b w:val="0"/>
              </w:rPr>
              <w:t xml:space="preserve"> stands adicionales para oferta institucional regional.</w:t>
            </w:r>
          </w:p>
          <w:p w:rsidR="00576555" w:rsidRDefault="006D3B87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</w:t>
            </w:r>
            <w:r w:rsidR="00576555">
              <w:rPr>
                <w:rFonts w:cstheme="minorHAnsi"/>
                <w:b w:val="0"/>
              </w:rPr>
              <w:t xml:space="preserve">ueden postular micro y pequeñas empresas productoras, </w:t>
            </w:r>
            <w:r w:rsidR="00576555" w:rsidRPr="00576555">
              <w:rPr>
                <w:rFonts w:cstheme="minorHAnsi"/>
                <w:b w:val="0"/>
              </w:rPr>
              <w:t xml:space="preserve">con domicilio </w:t>
            </w:r>
            <w:r w:rsidR="00576555">
              <w:rPr>
                <w:rFonts w:cstheme="minorHAnsi"/>
                <w:b w:val="0"/>
              </w:rPr>
              <w:t>comercial en la R</w:t>
            </w:r>
            <w:r w:rsidR="00576555" w:rsidRPr="00576555">
              <w:rPr>
                <w:rFonts w:cstheme="minorHAnsi"/>
                <w:b w:val="0"/>
              </w:rPr>
              <w:t>egión</w:t>
            </w:r>
            <w:r w:rsidR="00576555">
              <w:rPr>
                <w:rFonts w:cstheme="minorHAnsi"/>
                <w:b w:val="0"/>
              </w:rPr>
              <w:t xml:space="preserve"> de </w:t>
            </w:r>
            <w:r w:rsidR="009C3903">
              <w:rPr>
                <w:rFonts w:cstheme="minorHAnsi"/>
                <w:b w:val="0"/>
              </w:rPr>
              <w:t>Atacama</w:t>
            </w:r>
            <w:r w:rsidR="00576555" w:rsidRPr="00576555">
              <w:rPr>
                <w:rFonts w:cstheme="minorHAnsi"/>
                <w:b w:val="0"/>
              </w:rPr>
              <w:t>, con iniciación de actividades en primera categoría ante el Servicio de Impuesto Internos.</w:t>
            </w:r>
          </w:p>
          <w:p w:rsidR="00684CF4" w:rsidRDefault="00684CF4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</w:p>
          <w:p w:rsidR="00684CF4" w:rsidRDefault="00684CF4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 w:rsidRPr="00684CF4">
              <w:rPr>
                <w:rFonts w:cstheme="minorHAnsi"/>
                <w:b w:val="0"/>
              </w:rPr>
              <w:t>Se excluyen de esta convocatoria empresas que vendan y/o produzcan alcohol.</w:t>
            </w:r>
          </w:p>
          <w:p w:rsidR="00684CF4" w:rsidRPr="00576555" w:rsidRDefault="00684CF4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</w:p>
          <w:p w:rsidR="00E851F7" w:rsidRDefault="0070028A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</w:t>
            </w:r>
            <w:r>
              <w:rPr>
                <w:rFonts w:cstheme="minorHAnsi"/>
                <w:b w:val="0"/>
              </w:rPr>
              <w:t xml:space="preserve"> </w:t>
            </w:r>
            <w:r w:rsidR="00573224" w:rsidRPr="00573224">
              <w:rPr>
                <w:rFonts w:cstheme="minorHAnsi"/>
                <w:b w:val="0"/>
              </w:rPr>
              <w:t xml:space="preserve">a través del portal </w:t>
            </w:r>
            <w:r w:rsidR="006D3B87">
              <w:rPr>
                <w:rFonts w:cstheme="minorHAnsi"/>
                <w:b w:val="0"/>
              </w:rPr>
              <w:t xml:space="preserve">de Sercotec </w:t>
            </w:r>
            <w:r>
              <w:rPr>
                <w:rFonts w:cstheme="minorHAnsi"/>
                <w:b w:val="0"/>
              </w:rPr>
              <w:t xml:space="preserve"> </w:t>
            </w:r>
            <w:hyperlink r:id="rId15" w:history="1">
              <w:r w:rsidRPr="00A858BC">
                <w:rPr>
                  <w:rStyle w:val="Hipervnculo"/>
                  <w:rFonts w:cstheme="minorHAnsi"/>
                </w:rPr>
                <w:t>www.sercotec.cl</w:t>
              </w:r>
            </w:hyperlink>
            <w:r w:rsidR="00E851F7">
              <w:rPr>
                <w:rFonts w:cstheme="minorHAnsi"/>
                <w:b w:val="0"/>
              </w:rPr>
              <w:t xml:space="preserve">. </w:t>
            </w:r>
          </w:p>
          <w:p w:rsidR="009C3903" w:rsidRDefault="0029511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Una vez que </w:t>
            </w:r>
            <w:r w:rsidR="009C3903">
              <w:rPr>
                <w:rFonts w:cstheme="minorHAnsi"/>
                <w:b w:val="0"/>
              </w:rPr>
              <w:t>se</w:t>
            </w:r>
            <w:r>
              <w:rPr>
                <w:rFonts w:cstheme="minorHAnsi"/>
                <w:b w:val="0"/>
              </w:rPr>
              <w:t xml:space="preserve"> haya seleccionado a los/as empresarios/as expositores/as</w:t>
            </w:r>
            <w:r w:rsidR="009C3903">
              <w:rPr>
                <w:rFonts w:cstheme="minorHAnsi"/>
                <w:b w:val="0"/>
              </w:rPr>
              <w:t>, por orden de llegada de postulación, y siempre y cuando cumplen con los requisitos de</w:t>
            </w:r>
            <w:r w:rsidR="00F66428">
              <w:rPr>
                <w:rFonts w:cstheme="minorHAnsi"/>
                <w:b w:val="0"/>
              </w:rPr>
              <w:t xml:space="preserve"> haber enviado en su postulación</w:t>
            </w:r>
            <w:r w:rsidR="009C3903">
              <w:rPr>
                <w:rFonts w:cstheme="minorHAnsi"/>
                <w:b w:val="0"/>
              </w:rPr>
              <w:t>:</w:t>
            </w:r>
          </w:p>
          <w:p w:rsidR="009C3903" w:rsidRDefault="009C3903" w:rsidP="00F66428">
            <w:pPr>
              <w:pStyle w:val="Prrafodelista"/>
              <w:numPr>
                <w:ilvl w:val="0"/>
                <w:numId w:val="48"/>
              </w:numPr>
              <w:spacing w:before="120" w:after="120"/>
              <w:jc w:val="both"/>
              <w:rPr>
                <w:rFonts w:cstheme="minorHAnsi"/>
              </w:rPr>
            </w:pPr>
            <w:r w:rsidRPr="009C3903">
              <w:rPr>
                <w:rFonts w:cstheme="minorHAnsi"/>
              </w:rPr>
              <w:t>Carpeta Tributaria electrónica</w:t>
            </w:r>
            <w:r w:rsidR="00F66428">
              <w:rPr>
                <w:rFonts w:cstheme="minorHAnsi"/>
              </w:rPr>
              <w:t xml:space="preserve"> para solicitar créditos </w:t>
            </w:r>
            <w:r w:rsidR="00F66428" w:rsidRPr="00F66428">
              <w:rPr>
                <w:rFonts w:cstheme="minorHAnsi"/>
              </w:rPr>
              <w:t>con iniciación de actividades ante SII, en primera categoría, y con ventas anuales demostrables iguales o inferiores a 25.000 UF al año. Las ventas serán calculadas para el período Octubre 2021 – Septiembre 2022.</w:t>
            </w:r>
          </w:p>
          <w:p w:rsidR="00F66428" w:rsidRDefault="00F66428" w:rsidP="00F66428">
            <w:pPr>
              <w:pStyle w:val="Prrafodelista"/>
              <w:numPr>
                <w:ilvl w:val="0"/>
                <w:numId w:val="48"/>
              </w:num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Permisos asociados a su actividad: Resolución sanitaria, permiso ISP, entre otros.</w:t>
            </w:r>
          </w:p>
          <w:p w:rsidR="00F66428" w:rsidRPr="009C3903" w:rsidRDefault="00F66428" w:rsidP="00F66428">
            <w:pPr>
              <w:pStyle w:val="Prrafodelista"/>
              <w:numPr>
                <w:ilvl w:val="0"/>
                <w:numId w:val="48"/>
              </w:num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Formulario de postulación.</w:t>
            </w:r>
          </w:p>
          <w:p w:rsidR="0070028A" w:rsidRDefault="00684CF4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lastRenderedPageBreak/>
              <w:t>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 w:rsidR="00295112"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</w:t>
            </w:r>
            <w:r w:rsidR="006D3B87">
              <w:rPr>
                <w:rFonts w:cstheme="minorHAnsi"/>
                <w:b w:val="0"/>
              </w:rPr>
              <w:t xml:space="preserve"> feria</w:t>
            </w:r>
            <w:r w:rsidR="00573224" w:rsidRPr="00573224">
              <w:rPr>
                <w:rFonts w:cstheme="minorHAnsi"/>
                <w:b w:val="0"/>
              </w:rPr>
              <w:t xml:space="preserve"> para </w:t>
            </w:r>
            <w:r w:rsidR="006D3B87">
              <w:rPr>
                <w:rFonts w:cstheme="minorHAnsi"/>
                <w:b w:val="0"/>
              </w:rPr>
              <w:t>entrega de</w:t>
            </w:r>
            <w:r w:rsidR="00295112">
              <w:rPr>
                <w:rFonts w:cstheme="minorHAnsi"/>
                <w:b w:val="0"/>
              </w:rPr>
              <w:t xml:space="preserve"> toda la información necesaria para su c</w:t>
            </w:r>
            <w:r w:rsidR="004B2252">
              <w:rPr>
                <w:rFonts w:cstheme="minorHAnsi"/>
                <w:b w:val="0"/>
              </w:rPr>
              <w:t>orrecta participación en la actividad</w:t>
            </w:r>
            <w:r w:rsidR="00295112">
              <w:rPr>
                <w:rFonts w:cstheme="minorHAnsi"/>
                <w:b w:val="0"/>
              </w:rPr>
              <w:t xml:space="preserve">. </w:t>
            </w:r>
          </w:p>
          <w:p w:rsidR="00573224" w:rsidRPr="00573224" w:rsidRDefault="00573224" w:rsidP="00660122">
            <w:pPr>
              <w:tabs>
                <w:tab w:val="left" w:pos="7410"/>
              </w:tabs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Durante l</w:t>
            </w:r>
            <w:r w:rsidR="006D3B87">
              <w:rPr>
                <w:rFonts w:cstheme="minorHAnsi"/>
                <w:b w:val="0"/>
              </w:rPr>
              <w:t>os días de funcionamiento de la feria</w:t>
            </w:r>
            <w:r w:rsidRPr="00573224">
              <w:rPr>
                <w:rFonts w:cstheme="minorHAnsi"/>
                <w:b w:val="0"/>
              </w:rPr>
              <w:t xml:space="preserve"> se realizarán actividades </w:t>
            </w:r>
            <w:r w:rsidR="00F66428">
              <w:rPr>
                <w:rFonts w:cstheme="minorHAnsi"/>
                <w:b w:val="0"/>
              </w:rPr>
              <w:t>de difusión</w:t>
            </w:r>
            <w:r w:rsidRPr="00573224">
              <w:rPr>
                <w:rFonts w:cstheme="minorHAnsi"/>
                <w:b w:val="0"/>
              </w:rPr>
              <w:t>, para que, de esta manera, los tran</w:t>
            </w:r>
            <w:r w:rsidR="00F66428">
              <w:rPr>
                <w:rFonts w:cstheme="minorHAnsi"/>
                <w:b w:val="0"/>
              </w:rPr>
              <w:t>seúntes se acerquen a la feria y la</w:t>
            </w:r>
            <w:r w:rsidRPr="00573224">
              <w:rPr>
                <w:rFonts w:cstheme="minorHAnsi"/>
                <w:b w:val="0"/>
              </w:rPr>
              <w:t xml:space="preserve"> conozcan.</w:t>
            </w:r>
          </w:p>
          <w:p w:rsidR="00573224" w:rsidRPr="00573224" w:rsidRDefault="0057322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173254" w:rsidP="0066012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FECHA EJECUCIÓN</w:t>
            </w:r>
            <w:r w:rsidR="00573224" w:rsidRPr="00573224">
              <w:rPr>
                <w:rFonts w:cstheme="minorHAnsi"/>
              </w:rPr>
              <w:t xml:space="preserve">: </w:t>
            </w:r>
          </w:p>
          <w:p w:rsidR="0070028A" w:rsidRPr="00573224" w:rsidRDefault="00F66428" w:rsidP="00F66428">
            <w:pPr>
              <w:spacing w:before="120" w:after="120"/>
              <w:jc w:val="both"/>
              <w:rPr>
                <w:rFonts w:cstheme="minorHAnsi"/>
              </w:rPr>
            </w:pPr>
            <w:r>
              <w:t>Copiapó</w:t>
            </w:r>
            <w:r w:rsidR="0070028A" w:rsidRPr="0070028A">
              <w:t>:</w:t>
            </w:r>
            <w:r w:rsidR="0070028A" w:rsidRPr="00245F4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Plaza de armas de Copiapó, Miércoles 30 de noviembre, 1 y 2 de diciembre </w:t>
            </w:r>
            <w:r w:rsidR="0070028A">
              <w:rPr>
                <w:b w:val="0"/>
              </w:rPr>
              <w:t>20</w:t>
            </w:r>
            <w:r w:rsidR="00173254">
              <w:rPr>
                <w:b w:val="0"/>
              </w:rPr>
              <w:t>22</w:t>
            </w:r>
            <w:r>
              <w:rPr>
                <w:b w:val="0"/>
              </w:rPr>
              <w:t>, desde las 10:0</w:t>
            </w:r>
            <w:r w:rsidR="0070028A">
              <w:rPr>
                <w:b w:val="0"/>
              </w:rPr>
              <w:t xml:space="preserve">0 a las </w:t>
            </w:r>
            <w:r>
              <w:rPr>
                <w:b w:val="0"/>
              </w:rPr>
              <w:t>19</w:t>
            </w:r>
            <w:r w:rsidR="0070028A">
              <w:rPr>
                <w:b w:val="0"/>
              </w:rPr>
              <w:t>:00 hrs.</w:t>
            </w:r>
          </w:p>
        </w:tc>
      </w:tr>
    </w:tbl>
    <w:p w:rsidR="00CE6F48" w:rsidRDefault="00CE6F4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¿QUIENÉS PUEDEN POSTULAR?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94358" w:rsidRDefault="00594358" w:rsidP="00173254">
            <w:pPr>
              <w:pStyle w:val="Sinespaciado"/>
              <w:jc w:val="both"/>
              <w:rPr>
                <w:rFonts w:eastAsiaTheme="minorHAnsi"/>
                <w:b w:val="0"/>
                <w:lang w:val="es-CL"/>
              </w:rPr>
            </w:pPr>
            <w:r w:rsidRPr="00594358">
              <w:rPr>
                <w:rFonts w:eastAsiaTheme="minorHAnsi"/>
                <w:b w:val="0"/>
                <w:lang w:val="es-CL"/>
              </w:rPr>
              <w:t xml:space="preserve">Ser micro o pequeña empresa (Mipe), persona natural o jurídica, con inicio de actividades ante el SII (Servicio de Impuestos Internos) como contribuyente en primera categoría, y con ventas demostrables durante el período Octubre 2021 - Septiembre 2022, que estén interesados en participar resguardando y cumpliendo los protocolos sanitarios impuestos por la autoridad sanitaria. Además, deben adjuntar a su postulación todos los permisos asociados a su actividad, que tengan domicilio comercial y ejecuten su actividad empresarial en la Región de Atacama.                                                                                    </w:t>
            </w:r>
          </w:p>
          <w:p w:rsidR="00594358" w:rsidRDefault="00594358" w:rsidP="00173254">
            <w:pPr>
              <w:pStyle w:val="Sinespaciado"/>
              <w:jc w:val="both"/>
              <w:rPr>
                <w:rFonts w:eastAsiaTheme="minorHAnsi"/>
                <w:b w:val="0"/>
                <w:lang w:val="es-CL"/>
              </w:rPr>
            </w:pPr>
          </w:p>
          <w:p w:rsidR="00594358" w:rsidRDefault="00173254" w:rsidP="00173254">
            <w:pPr>
              <w:pStyle w:val="Sinespaciado"/>
              <w:jc w:val="both"/>
              <w:rPr>
                <w:rFonts w:ascii="gobCL" w:hAnsi="gobCL"/>
                <w:b w:val="0"/>
              </w:rPr>
            </w:pPr>
            <w:r w:rsidRPr="00507524">
              <w:rPr>
                <w:rFonts w:eastAsia="Arial Unicode MS" w:cs="Arial"/>
                <w:b w:val="0"/>
                <w:lang w:val="es-CL"/>
              </w:rPr>
              <w:t>En el caso de las empresas del rubro alimenticio, sólo pueden postular las que posean resolución sanitaria y que vendan alimentos preparados, no se permite cocinar en el stand.</w:t>
            </w:r>
            <w:r w:rsidR="00594358">
              <w:rPr>
                <w:rFonts w:eastAsia="Arial Unicode MS" w:cs="Arial"/>
                <w:b w:val="0"/>
                <w:lang w:val="es-CL"/>
              </w:rPr>
              <w:t xml:space="preserve"> </w:t>
            </w:r>
            <w:r w:rsidR="00594358">
              <w:rPr>
                <w:rFonts w:ascii="gobCL" w:hAnsi="gobCL"/>
                <w:b w:val="0"/>
              </w:rPr>
              <w:t xml:space="preserve"> </w:t>
            </w:r>
          </w:p>
          <w:p w:rsidR="00594358" w:rsidRDefault="00594358" w:rsidP="00173254">
            <w:pPr>
              <w:pStyle w:val="Sinespaciado"/>
              <w:jc w:val="both"/>
              <w:rPr>
                <w:rFonts w:ascii="gobCL" w:hAnsi="gobCL"/>
                <w:b w:val="0"/>
              </w:rPr>
            </w:pPr>
          </w:p>
          <w:p w:rsidR="00173254" w:rsidRDefault="00594358" w:rsidP="00173254">
            <w:pPr>
              <w:pStyle w:val="Sinespaciado"/>
              <w:jc w:val="both"/>
              <w:rPr>
                <w:rFonts w:eastAsia="Arial Unicode MS" w:cs="Arial"/>
                <w:b w:val="0"/>
                <w:lang w:val="es-CL"/>
              </w:rPr>
            </w:pPr>
            <w:r w:rsidRPr="00594358">
              <w:rPr>
                <w:rFonts w:eastAsia="Arial Unicode MS" w:cs="Arial"/>
                <w:b w:val="0"/>
                <w:lang w:val="es-CL"/>
              </w:rPr>
              <w:t>Se excluyen de esta convocatoria empresas que vendan y/o produzcan alcohol.</w:t>
            </w:r>
          </w:p>
          <w:p w:rsidR="006D788E" w:rsidRPr="00507524" w:rsidRDefault="006D788E" w:rsidP="006D788E">
            <w:pPr>
              <w:pStyle w:val="Sinespaciado"/>
              <w:jc w:val="both"/>
              <w:rPr>
                <w:rFonts w:eastAsia="Arial Unicode MS" w:cs="Arial"/>
                <w:b w:val="0"/>
                <w:lang w:val="es-CL"/>
              </w:rPr>
            </w:pPr>
          </w:p>
        </w:tc>
      </w:tr>
    </w:tbl>
    <w:p w:rsidR="00C07AE8" w:rsidRDefault="00C07AE8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173254" w:rsidRPr="00B5516D" w:rsidRDefault="00173254" w:rsidP="00F66428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 w:rsidR="00F66428">
              <w:rPr>
                <w:rFonts w:eastAsia="Arial Unicode MS" w:cstheme="minorHAnsi"/>
                <w:b w:val="0"/>
                <w:bCs w:val="0"/>
              </w:rPr>
              <w:t>Martes 8 de noviembre</w:t>
            </w:r>
            <w:r>
              <w:rPr>
                <w:rFonts w:eastAsia="Arial Unicode MS" w:cstheme="minorHAnsi"/>
                <w:b w:val="0"/>
                <w:bCs w:val="0"/>
              </w:rPr>
              <w:t xml:space="preserve"> de 2022, desde las 12:00 hrs.</w:t>
            </w:r>
          </w:p>
        </w:tc>
      </w:tr>
      <w:tr w:rsidR="00173254" w:rsidRPr="00573224" w:rsidTr="001732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73254" w:rsidRPr="00573224" w:rsidRDefault="00173254" w:rsidP="00F66428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 w:rsidR="00F66428">
              <w:rPr>
                <w:rFonts w:eastAsia="Arial Unicode MS" w:cstheme="minorHAnsi"/>
                <w:b w:val="0"/>
                <w:bCs w:val="0"/>
              </w:rPr>
              <w:t>Viernes 18</w:t>
            </w:r>
            <w:r w:rsidRPr="00660122">
              <w:rPr>
                <w:rFonts w:eastAsia="Arial Unicode MS" w:cstheme="minorHAnsi"/>
                <w:b w:val="0"/>
                <w:bCs w:val="0"/>
              </w:rPr>
              <w:t xml:space="preserve"> de </w:t>
            </w:r>
            <w:r w:rsidR="00F66428">
              <w:rPr>
                <w:rFonts w:eastAsia="Arial Unicode MS" w:cstheme="minorHAnsi"/>
                <w:b w:val="0"/>
                <w:bCs w:val="0"/>
              </w:rPr>
              <w:t>noviembre</w:t>
            </w:r>
            <w:r>
              <w:rPr>
                <w:rFonts w:eastAsia="Arial Unicode MS" w:cstheme="minorHAnsi"/>
                <w:b w:val="0"/>
                <w:bCs w:val="0"/>
              </w:rPr>
              <w:t>, hasta las 15</w:t>
            </w:r>
            <w:r w:rsidRPr="00B5516D">
              <w:rPr>
                <w:rFonts w:eastAsia="Arial Unicode MS" w:cstheme="minorHAnsi"/>
                <w:b w:val="0"/>
                <w:bCs w:val="0"/>
              </w:rPr>
              <w:t>:00 hrs.</w:t>
            </w:r>
          </w:p>
        </w:tc>
      </w:tr>
    </w:tbl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CE6F48" w:rsidRPr="00573224" w:rsidRDefault="00CE6F48" w:rsidP="00BA2F75">
      <w:pPr>
        <w:spacing w:after="0"/>
        <w:rPr>
          <w:rFonts w:cstheme="minorHAnsi"/>
        </w:rPr>
      </w:pPr>
    </w:p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8D713F" w:rsidRDefault="008D713F" w:rsidP="008A6EE5">
            <w:pPr>
              <w:rPr>
                <w:b w:val="0"/>
              </w:rPr>
            </w:pPr>
            <w:r>
              <w:rPr>
                <w:b w:val="0"/>
              </w:rPr>
              <w:t xml:space="preserve">Estar registrado como usuario en </w:t>
            </w:r>
            <w:hyperlink r:id="rId16" w:history="1">
              <w:r w:rsidRPr="00D653F4">
                <w:rPr>
                  <w:rStyle w:val="Hipervnculo"/>
                </w:rPr>
                <w:t>www.sercotec.cl</w:t>
              </w:r>
            </w:hyperlink>
            <w:r>
              <w:rPr>
                <w:b w:val="0"/>
              </w:rPr>
              <w:t xml:space="preserve"> </w:t>
            </w:r>
            <w:r w:rsidR="0070028A">
              <w:rPr>
                <w:b w:val="0"/>
              </w:rPr>
              <w:t xml:space="preserve"> </w:t>
            </w:r>
          </w:p>
          <w:p w:rsidR="0070028A" w:rsidRDefault="0070028A" w:rsidP="008A6EE5">
            <w:pPr>
              <w:rPr>
                <w:b w:val="0"/>
              </w:rPr>
            </w:pPr>
            <w:r w:rsidRPr="007833DF">
              <w:rPr>
                <w:b w:val="0"/>
              </w:rPr>
              <w:t xml:space="preserve">Completar </w:t>
            </w:r>
            <w:r w:rsidR="00AB7F71">
              <w:rPr>
                <w:b w:val="0"/>
              </w:rPr>
              <w:t>l</w:t>
            </w:r>
            <w:r w:rsidR="00AB7F71" w:rsidRPr="007833DF">
              <w:rPr>
                <w:b w:val="0"/>
              </w:rPr>
              <w:t>a Ficha de Postulación</w:t>
            </w:r>
            <w:r w:rsidR="00AB7F71">
              <w:rPr>
                <w:b w:val="0"/>
              </w:rPr>
              <w:t xml:space="preserve"> y subirla al portal de Sercotec.</w:t>
            </w:r>
          </w:p>
          <w:p w:rsidR="0070028A" w:rsidRDefault="0070028A" w:rsidP="008A6EE5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AB7F71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3DF">
              <w:t>Recepción de la Ficha de Postulación</w:t>
            </w:r>
            <w:r>
              <w:t xml:space="preserve"> por parte de SERCOTEC</w:t>
            </w:r>
            <w:r w:rsidRPr="007833DF">
              <w:t>, con todos los datos</w:t>
            </w:r>
            <w:r>
              <w:t xml:space="preserve"> que se solicitan</w:t>
            </w:r>
            <w:r w:rsidRPr="007833DF">
              <w:t xml:space="preserve"> ingresados.</w:t>
            </w:r>
          </w:p>
          <w:p w:rsidR="0070028A" w:rsidRPr="007833DF" w:rsidRDefault="00AB7F71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ficha se debe subir al portal de Sercotec al momento de postular</w:t>
            </w:r>
            <w:r w:rsidRPr="00AB7F71">
              <w:t>.</w:t>
            </w:r>
          </w:p>
        </w:tc>
      </w:tr>
      <w:tr w:rsidR="00F66428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F66428" w:rsidRPr="00337CEE" w:rsidRDefault="00F66428" w:rsidP="00F66428">
            <w:pPr>
              <w:spacing w:before="120" w:after="120"/>
              <w:jc w:val="both"/>
              <w:rPr>
                <w:b w:val="0"/>
                <w:bCs w:val="0"/>
              </w:rPr>
            </w:pPr>
            <w:r w:rsidRPr="00C82100">
              <w:rPr>
                <w:b w:val="0"/>
              </w:rPr>
              <w:t>Que tengan domicilio comercial y ejecuten su actividad empresarial en la Región de Atacama.</w:t>
            </w:r>
          </w:p>
        </w:tc>
        <w:tc>
          <w:tcPr>
            <w:tcW w:w="4820" w:type="dxa"/>
          </w:tcPr>
          <w:p w:rsidR="00F66428" w:rsidRPr="00337CEE" w:rsidRDefault="00F66428" w:rsidP="00F66428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Carpeta Tributaria electrónica</w:t>
            </w:r>
          </w:p>
        </w:tc>
      </w:tr>
      <w:tr w:rsidR="00F66428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F66428" w:rsidRPr="00337CEE" w:rsidRDefault="00F66428" w:rsidP="00F66428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Personas naturales y jurídicas, con iniciación de actividades ante SII, en </w:t>
            </w:r>
            <w:r>
              <w:rPr>
                <w:b w:val="0"/>
              </w:rPr>
              <w:lastRenderedPageBreak/>
              <w:t xml:space="preserve">primera categoría, </w:t>
            </w:r>
            <w:r w:rsidRPr="009947A2">
              <w:rPr>
                <w:b w:val="0"/>
              </w:rPr>
              <w:t xml:space="preserve">y con ventas </w:t>
            </w:r>
            <w:r>
              <w:rPr>
                <w:b w:val="0"/>
              </w:rPr>
              <w:t xml:space="preserve">anuales demostrables iguales o inferiores a 25.000 UF al año. Las ventas serán calculadas para </w:t>
            </w:r>
            <w:r w:rsidRPr="009947A2">
              <w:rPr>
                <w:b w:val="0"/>
              </w:rPr>
              <w:t xml:space="preserve">el período </w:t>
            </w:r>
            <w:r>
              <w:rPr>
                <w:b w:val="0"/>
              </w:rPr>
              <w:t xml:space="preserve">Octubre </w:t>
            </w:r>
            <w:r w:rsidRPr="009947A2">
              <w:rPr>
                <w:b w:val="0"/>
              </w:rPr>
              <w:t>202</w:t>
            </w:r>
            <w:r>
              <w:rPr>
                <w:b w:val="0"/>
              </w:rPr>
              <w:t>1</w:t>
            </w:r>
            <w:r w:rsidRPr="009947A2">
              <w:rPr>
                <w:b w:val="0"/>
              </w:rPr>
              <w:t xml:space="preserve"> – </w:t>
            </w:r>
            <w:r>
              <w:rPr>
                <w:b w:val="0"/>
              </w:rPr>
              <w:t xml:space="preserve">Septiembre </w:t>
            </w:r>
            <w:r w:rsidRPr="009947A2">
              <w:rPr>
                <w:b w:val="0"/>
              </w:rPr>
              <w:t>202</w:t>
            </w:r>
            <w:r>
              <w:rPr>
                <w:b w:val="0"/>
              </w:rPr>
              <w:t>2</w:t>
            </w:r>
            <w:r w:rsidRPr="009947A2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F66428" w:rsidRDefault="00F66428" w:rsidP="00F66428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Carpeta Tributaria electrónica</w:t>
            </w:r>
          </w:p>
          <w:p w:rsidR="00F66428" w:rsidRPr="00337CEE" w:rsidRDefault="00F66428" w:rsidP="00F66428">
            <w:pPr>
              <w:spacing w:before="60"/>
              <w:ind w:left="7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6428" w:rsidRPr="0045330D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F66428" w:rsidRPr="008B7A40" w:rsidRDefault="00F66428" w:rsidP="00F66428">
            <w:pPr>
              <w:jc w:val="both"/>
              <w:rPr>
                <w:b w:val="0"/>
                <w:bCs w:val="0"/>
              </w:rPr>
            </w:pPr>
            <w:r w:rsidRPr="001777F2">
              <w:rPr>
                <w:b w:val="0"/>
                <w:bCs w:val="0"/>
              </w:rPr>
              <w:lastRenderedPageBreak/>
              <w:t xml:space="preserve">En el caso de las empresas del rubro alimenticio, sólo pueden postular las que poseen resolución sanitaria y que vendan alimentos preparados, </w:t>
            </w:r>
            <w:r w:rsidRPr="00EB73DE">
              <w:rPr>
                <w:bCs w:val="0"/>
              </w:rPr>
              <w:t>no se permite cocinar en el stand</w:t>
            </w:r>
            <w:r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F66428" w:rsidRPr="0045330D" w:rsidRDefault="00F66428" w:rsidP="00F66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30D">
              <w:t xml:space="preserve">Resolución sanitaria subida </w:t>
            </w:r>
            <w:r>
              <w:t>al portal de Sercotec al momento de postular</w:t>
            </w:r>
            <w:r w:rsidRPr="0045330D">
              <w:t>.</w:t>
            </w:r>
          </w:p>
        </w:tc>
      </w:tr>
      <w:tr w:rsidR="00F66428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F66428" w:rsidRPr="002E4348" w:rsidRDefault="00F66428" w:rsidP="00F66428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t>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:rsidR="00F66428" w:rsidRPr="008B7A40" w:rsidRDefault="00F66428" w:rsidP="00F66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</w:tbl>
    <w:p w:rsidR="0070028A" w:rsidRDefault="0070028A" w:rsidP="00BA2F75">
      <w:pPr>
        <w:spacing w:after="0"/>
        <w:rPr>
          <w:rFonts w:cstheme="minorHAnsi"/>
        </w:rPr>
      </w:pPr>
    </w:p>
    <w:p w:rsidR="00C73BBD" w:rsidRDefault="007D3385" w:rsidP="007D3385">
      <w:pPr>
        <w:spacing w:after="0"/>
        <w:jc w:val="center"/>
        <w:rPr>
          <w:rFonts w:cstheme="minorHAnsi"/>
        </w:rPr>
      </w:pPr>
      <w:r>
        <w:rPr>
          <w:rFonts w:cstheme="minorHAnsi"/>
        </w:rPr>
        <w:t>CRITERIOS DE EVALUACIÓN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br/>
        <w:t>1.- FACTOR DENOMINACIÓN DE ORIGEN</w:t>
      </w:r>
      <w:r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 xml:space="preserve"> (20%)</w:t>
      </w: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, Se evaluará en dicho factor positivamente a quienes se presente a la Expo con productos regionales con denominación de origen (Aceite de Oliva):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689"/>
      </w:tblGrid>
      <w:tr w:rsidR="00C73BBD" w:rsidRPr="00C73BBD" w:rsidTr="00C73BBD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Puntaje</w:t>
            </w:r>
          </w:p>
        </w:tc>
        <w:tc>
          <w:tcPr>
            <w:tcW w:w="7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Justificación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no tienen denominación de origen en la región de Atacama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7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tienen al menos 1 producto con denominación de origen en la región de Atacama</w:t>
            </w:r>
          </w:p>
        </w:tc>
      </w:tr>
    </w:tbl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2.- FACTOR DOMICILIO</w:t>
      </w:r>
      <w:r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 xml:space="preserve"> (10%)</w:t>
      </w: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, Se evaluará en dicho factor positivamente a quienes se presenten a la Expo y que no tengan domicilio en la capital regional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689"/>
      </w:tblGrid>
      <w:tr w:rsidR="00C73BBD" w:rsidRPr="00C73BBD" w:rsidTr="00C73BBD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Puntaje</w:t>
            </w:r>
          </w:p>
        </w:tc>
        <w:tc>
          <w:tcPr>
            <w:tcW w:w="7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Justificación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tienen domicilio en la comuna de Copiapó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5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tienen domicilio en la provincia de Copiapó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7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tienen domicilio en las provincias de Huasco y Chañaral</w:t>
            </w:r>
          </w:p>
        </w:tc>
      </w:tr>
    </w:tbl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3.- FACTOR EXPERIENCIA</w:t>
      </w:r>
      <w:r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 xml:space="preserve"> (10%)</w:t>
      </w: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, Se evaluará en dicho factor positivamente a quienes no hayan participado antes en eventos organizados por SERCOTEC en el programa Promoción y comercialización.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689"/>
      </w:tblGrid>
      <w:tr w:rsidR="00C73BBD" w:rsidRPr="00C73BBD" w:rsidTr="00C73BBD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Puntaje</w:t>
            </w:r>
          </w:p>
        </w:tc>
        <w:tc>
          <w:tcPr>
            <w:tcW w:w="7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Justificación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es-CL"/>
              </w:rPr>
              <w:t>Quienes tienen al menos 2 participaciones en eventos de Expo SERCOTEC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5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han participado en 1 expo SERCOTEC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7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CL"/>
              </w:rPr>
              <w:t>Quienes nunca han participado en una Expo SERCOTEC</w:t>
            </w:r>
          </w:p>
        </w:tc>
      </w:tr>
    </w:tbl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lastRenderedPageBreak/>
        <w:t>4.- FACTOR PRODUCCIÓN</w:t>
      </w:r>
      <w:r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 xml:space="preserve"> (30%)</w:t>
      </w: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, Se evaluará en dicho factor positivamente a quienes se presenten a la Expo como </w:t>
      </w:r>
      <w:r w:rsidRPr="00C73BBD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PRODUCTORES/AS (aquellos que producen/fabrican/elaboran lo que ofrecen y venden)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689"/>
      </w:tblGrid>
      <w:tr w:rsidR="00C73BBD" w:rsidRPr="00C73BBD" w:rsidTr="00C73BBD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Puntaje</w:t>
            </w:r>
          </w:p>
        </w:tc>
        <w:tc>
          <w:tcPr>
            <w:tcW w:w="7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Justificación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1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no son productores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7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fabrican/producen/elaboran lo que ofrecen y venden</w:t>
            </w:r>
          </w:p>
        </w:tc>
      </w:tr>
    </w:tbl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5.- FACTOR OPORTUNIDAD</w:t>
      </w:r>
      <w:r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 xml:space="preserve"> (20%)</w:t>
      </w: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, Se evaluará en dicho factor positivamente a q</w:t>
      </w:r>
      <w:r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uienes hayan sido las primeras 41</w:t>
      </w: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 xml:space="preserve"> postulaciones ingresadas al sistema de postulación a la Expo: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689"/>
      </w:tblGrid>
      <w:tr w:rsidR="00C73BBD" w:rsidRPr="00C73BBD" w:rsidTr="00C73BBD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Puntaje</w:t>
            </w:r>
          </w:p>
        </w:tc>
        <w:tc>
          <w:tcPr>
            <w:tcW w:w="7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Justificación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postularon en el lugar 42</w:t>
            </w: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 xml:space="preserve"> en adelante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7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es postularon en el lugar 1 al 41</w:t>
            </w: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 xml:space="preserve"> en el sistema SERCOTEC</w:t>
            </w:r>
          </w:p>
        </w:tc>
      </w:tr>
    </w:tbl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5.- FACTOR DIGITALIZACIÓN</w:t>
      </w:r>
      <w:r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 xml:space="preserve"> (10%)</w:t>
      </w: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, Se evaluará en dicho factor positivamente a quienes tengan rrss/web activas:</w:t>
      </w:r>
    </w:p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689"/>
      </w:tblGrid>
      <w:tr w:rsidR="00C73BBD" w:rsidRPr="00C73BBD" w:rsidTr="00C73BBD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Puntaje</w:t>
            </w:r>
          </w:p>
        </w:tc>
        <w:tc>
          <w:tcPr>
            <w:tcW w:w="7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Justificación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no tengan RRSS/web activas </w:t>
            </w:r>
          </w:p>
        </w:tc>
      </w:tr>
      <w:tr w:rsidR="00C73BBD" w:rsidRPr="00C73BBD" w:rsidTr="00C73BBD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Nota 7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BD" w:rsidRPr="00C73BBD" w:rsidRDefault="00C73BBD" w:rsidP="00C7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C73BBD">
              <w:rPr>
                <w:rFonts w:ascii="Calibri" w:eastAsia="Times New Roman" w:hAnsi="Calibri" w:cs="Calibri"/>
                <w:color w:val="222222"/>
                <w:sz w:val="24"/>
                <w:szCs w:val="24"/>
                <w:lang w:val="es-ES" w:eastAsia="es-CL"/>
              </w:rPr>
              <w:t>Quienes tengan RRSS/Web activas</w:t>
            </w:r>
          </w:p>
        </w:tc>
      </w:tr>
    </w:tbl>
    <w:p w:rsidR="00C73BBD" w:rsidRPr="00C73BBD" w:rsidRDefault="00C73BBD" w:rsidP="00C73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73BBD">
        <w:rPr>
          <w:rFonts w:ascii="Calibri" w:eastAsia="Times New Roman" w:hAnsi="Calibri" w:cs="Calibri"/>
          <w:color w:val="222222"/>
          <w:sz w:val="24"/>
          <w:szCs w:val="24"/>
          <w:lang w:val="es-ES" w:eastAsia="es-CL"/>
        </w:rPr>
        <w:t> </w:t>
      </w:r>
    </w:p>
    <w:p w:rsidR="00747B90" w:rsidRPr="005F0DF2" w:rsidRDefault="00747B90" w:rsidP="00747B90">
      <w:pPr>
        <w:jc w:val="both"/>
      </w:pPr>
      <w:r w:rsidRPr="005F0DF2">
        <w:t>La evaluación será realizada por</w:t>
      </w:r>
      <w:r w:rsidR="00186853">
        <w:t xml:space="preserve"> el</w:t>
      </w:r>
      <w:r w:rsidRPr="005F0DF2">
        <w:t xml:space="preserve"> </w:t>
      </w:r>
      <w:r w:rsidR="00AB6EC0">
        <w:t>Director Regional y 2</w:t>
      </w:r>
      <w:r w:rsidRPr="005F0DF2">
        <w:t xml:space="preserve"> ejecutivo</w:t>
      </w:r>
      <w:r w:rsidR="00AB6EC0">
        <w:t>s</w:t>
      </w:r>
      <w:r w:rsidRPr="005F0DF2">
        <w:t xml:space="preserve"> de fomento de Sercotec </w:t>
      </w:r>
      <w:r w:rsidR="00C73BBD">
        <w:t>Atacama.</w:t>
      </w:r>
    </w:p>
    <w:p w:rsidR="00CE6F48" w:rsidRPr="00AB6EC0" w:rsidRDefault="00747B90" w:rsidP="00AB6EC0">
      <w:pPr>
        <w:jc w:val="both"/>
        <w:rPr>
          <w:b/>
        </w:rPr>
      </w:pPr>
      <w:r w:rsidRPr="005F0DF2">
        <w:rPr>
          <w:b/>
        </w:rPr>
        <w:t>En el caso 2 postulantes en igualdad de condiciones de postulación, se priorizará como beneficiario/a a la empresa postulante liderada por género femenino</w:t>
      </w:r>
      <w:r>
        <w:rPr>
          <w:b/>
        </w:rPr>
        <w:t>.</w:t>
      </w:r>
    </w:p>
    <w:sectPr w:rsidR="00CE6F48" w:rsidRPr="00AB6EC0" w:rsidSect="00AA33C5">
      <w:headerReference w:type="default" r:id="rId17"/>
      <w:footerReference w:type="default" r:id="rId18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93" w:rsidRDefault="00F17593" w:rsidP="00CD502C">
      <w:pPr>
        <w:spacing w:after="0" w:line="240" w:lineRule="auto"/>
      </w:pPr>
      <w:r>
        <w:separator/>
      </w:r>
    </w:p>
  </w:endnote>
  <w:endnote w:type="continuationSeparator" w:id="0">
    <w:p w:rsidR="00F17593" w:rsidRDefault="00F17593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27" w:rsidRPr="00DE3F27">
          <w:rPr>
            <w:noProof/>
            <w:lang w:val="es-ES"/>
          </w:rPr>
          <w:t>1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93" w:rsidRDefault="00F17593" w:rsidP="00CD502C">
      <w:pPr>
        <w:spacing w:after="0" w:line="240" w:lineRule="auto"/>
      </w:pPr>
      <w:r>
        <w:separator/>
      </w:r>
    </w:p>
  </w:footnote>
  <w:footnote w:type="continuationSeparator" w:id="0">
    <w:p w:rsidR="00F17593" w:rsidRDefault="00F17593" w:rsidP="00C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7352A2"/>
    <w:multiLevelType w:val="hybridMultilevel"/>
    <w:tmpl w:val="E34C6CA6"/>
    <w:lvl w:ilvl="0" w:tplc="4254D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5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7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5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10"/>
  </w:num>
  <w:num w:numId="4">
    <w:abstractNumId w:val="30"/>
  </w:num>
  <w:num w:numId="5">
    <w:abstractNumId w:val="36"/>
  </w:num>
  <w:num w:numId="6">
    <w:abstractNumId w:val="22"/>
  </w:num>
  <w:num w:numId="7">
    <w:abstractNumId w:val="14"/>
  </w:num>
  <w:num w:numId="8">
    <w:abstractNumId w:val="4"/>
  </w:num>
  <w:num w:numId="9">
    <w:abstractNumId w:val="41"/>
  </w:num>
  <w:num w:numId="10">
    <w:abstractNumId w:val="8"/>
  </w:num>
  <w:num w:numId="11">
    <w:abstractNumId w:val="32"/>
  </w:num>
  <w:num w:numId="12">
    <w:abstractNumId w:val="19"/>
  </w:num>
  <w:num w:numId="13">
    <w:abstractNumId w:val="27"/>
  </w:num>
  <w:num w:numId="14">
    <w:abstractNumId w:val="29"/>
  </w:num>
  <w:num w:numId="15">
    <w:abstractNumId w:val="13"/>
  </w:num>
  <w:num w:numId="16">
    <w:abstractNumId w:val="38"/>
  </w:num>
  <w:num w:numId="17">
    <w:abstractNumId w:val="0"/>
  </w:num>
  <w:num w:numId="18">
    <w:abstractNumId w:val="21"/>
  </w:num>
  <w:num w:numId="19">
    <w:abstractNumId w:val="9"/>
  </w:num>
  <w:num w:numId="20">
    <w:abstractNumId w:val="17"/>
  </w:num>
  <w:num w:numId="21">
    <w:abstractNumId w:val="34"/>
  </w:num>
  <w:num w:numId="22">
    <w:abstractNumId w:val="7"/>
  </w:num>
  <w:num w:numId="23">
    <w:abstractNumId w:val="39"/>
  </w:num>
  <w:num w:numId="24">
    <w:abstractNumId w:val="31"/>
  </w:num>
  <w:num w:numId="25">
    <w:abstractNumId w:val="23"/>
  </w:num>
  <w:num w:numId="26">
    <w:abstractNumId w:val="18"/>
  </w:num>
  <w:num w:numId="27">
    <w:abstractNumId w:val="15"/>
  </w:num>
  <w:num w:numId="28">
    <w:abstractNumId w:val="43"/>
  </w:num>
  <w:num w:numId="29">
    <w:abstractNumId w:val="33"/>
  </w:num>
  <w:num w:numId="30">
    <w:abstractNumId w:val="6"/>
  </w:num>
  <w:num w:numId="31">
    <w:abstractNumId w:val="35"/>
  </w:num>
  <w:num w:numId="32">
    <w:abstractNumId w:val="28"/>
  </w:num>
  <w:num w:numId="33">
    <w:abstractNumId w:val="16"/>
  </w:num>
  <w:num w:numId="34">
    <w:abstractNumId w:val="0"/>
  </w:num>
  <w:num w:numId="35">
    <w:abstractNumId w:val="5"/>
  </w:num>
  <w:num w:numId="36">
    <w:abstractNumId w:val="3"/>
  </w:num>
  <w:num w:numId="37">
    <w:abstractNumId w:val="40"/>
  </w:num>
  <w:num w:numId="38">
    <w:abstractNumId w:val="42"/>
  </w:num>
  <w:num w:numId="39">
    <w:abstractNumId w:val="11"/>
  </w:num>
  <w:num w:numId="40">
    <w:abstractNumId w:val="12"/>
  </w:num>
  <w:num w:numId="41">
    <w:abstractNumId w:val="44"/>
  </w:num>
  <w:num w:numId="42">
    <w:abstractNumId w:val="2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</w:num>
  <w:num w:numId="46">
    <w:abstractNumId w:val="25"/>
  </w:num>
  <w:num w:numId="47">
    <w:abstractNumId w:val="3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12B4D"/>
    <w:rsid w:val="00016120"/>
    <w:rsid w:val="00016523"/>
    <w:rsid w:val="0001765C"/>
    <w:rsid w:val="00021F4E"/>
    <w:rsid w:val="00023D65"/>
    <w:rsid w:val="00025508"/>
    <w:rsid w:val="00027D02"/>
    <w:rsid w:val="00034204"/>
    <w:rsid w:val="00036AA2"/>
    <w:rsid w:val="00040B91"/>
    <w:rsid w:val="0007582A"/>
    <w:rsid w:val="0007779C"/>
    <w:rsid w:val="00077D95"/>
    <w:rsid w:val="00082751"/>
    <w:rsid w:val="000A5AEC"/>
    <w:rsid w:val="000B05D8"/>
    <w:rsid w:val="000B3068"/>
    <w:rsid w:val="000B3B54"/>
    <w:rsid w:val="000C43CC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7045"/>
    <w:rsid w:val="000F79F7"/>
    <w:rsid w:val="001113E1"/>
    <w:rsid w:val="00124A6E"/>
    <w:rsid w:val="00131965"/>
    <w:rsid w:val="0013279A"/>
    <w:rsid w:val="00143DF9"/>
    <w:rsid w:val="00152E2E"/>
    <w:rsid w:val="001658A0"/>
    <w:rsid w:val="0016657D"/>
    <w:rsid w:val="00167DCD"/>
    <w:rsid w:val="00173254"/>
    <w:rsid w:val="001776B0"/>
    <w:rsid w:val="00186853"/>
    <w:rsid w:val="00194AEF"/>
    <w:rsid w:val="001A2AD7"/>
    <w:rsid w:val="001A331F"/>
    <w:rsid w:val="001B7799"/>
    <w:rsid w:val="001C0CFD"/>
    <w:rsid w:val="001C1359"/>
    <w:rsid w:val="001C1573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210A7"/>
    <w:rsid w:val="00223D07"/>
    <w:rsid w:val="00232470"/>
    <w:rsid w:val="00234575"/>
    <w:rsid w:val="00235FF7"/>
    <w:rsid w:val="00244525"/>
    <w:rsid w:val="00291D7B"/>
    <w:rsid w:val="00295112"/>
    <w:rsid w:val="002A3356"/>
    <w:rsid w:val="002A74BB"/>
    <w:rsid w:val="002B3E77"/>
    <w:rsid w:val="002C071E"/>
    <w:rsid w:val="002D261C"/>
    <w:rsid w:val="002D3559"/>
    <w:rsid w:val="002E0208"/>
    <w:rsid w:val="002E0E6B"/>
    <w:rsid w:val="002F72E1"/>
    <w:rsid w:val="00302345"/>
    <w:rsid w:val="0030561E"/>
    <w:rsid w:val="003059DA"/>
    <w:rsid w:val="0031676E"/>
    <w:rsid w:val="00322A85"/>
    <w:rsid w:val="003239CE"/>
    <w:rsid w:val="00326C34"/>
    <w:rsid w:val="00335587"/>
    <w:rsid w:val="00337CEE"/>
    <w:rsid w:val="003423C5"/>
    <w:rsid w:val="003447C1"/>
    <w:rsid w:val="00352015"/>
    <w:rsid w:val="003605D1"/>
    <w:rsid w:val="00376C00"/>
    <w:rsid w:val="00397102"/>
    <w:rsid w:val="003975FF"/>
    <w:rsid w:val="003A1230"/>
    <w:rsid w:val="003B0835"/>
    <w:rsid w:val="003B096E"/>
    <w:rsid w:val="003B1702"/>
    <w:rsid w:val="003B1790"/>
    <w:rsid w:val="003B25C1"/>
    <w:rsid w:val="003C0F43"/>
    <w:rsid w:val="003D0C65"/>
    <w:rsid w:val="003E1F70"/>
    <w:rsid w:val="003E75F3"/>
    <w:rsid w:val="003F4D42"/>
    <w:rsid w:val="003F5FF2"/>
    <w:rsid w:val="003F667E"/>
    <w:rsid w:val="00405ED3"/>
    <w:rsid w:val="00416A12"/>
    <w:rsid w:val="00421197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A7C0B"/>
    <w:rsid w:val="004B2252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7730"/>
    <w:rsid w:val="004F7E2C"/>
    <w:rsid w:val="0050077C"/>
    <w:rsid w:val="00505224"/>
    <w:rsid w:val="00507120"/>
    <w:rsid w:val="00507524"/>
    <w:rsid w:val="00511A90"/>
    <w:rsid w:val="00515BCD"/>
    <w:rsid w:val="005166DE"/>
    <w:rsid w:val="00522D92"/>
    <w:rsid w:val="00522F40"/>
    <w:rsid w:val="005254CF"/>
    <w:rsid w:val="00530676"/>
    <w:rsid w:val="00532109"/>
    <w:rsid w:val="00535726"/>
    <w:rsid w:val="00536E92"/>
    <w:rsid w:val="00542654"/>
    <w:rsid w:val="0054665F"/>
    <w:rsid w:val="005513FC"/>
    <w:rsid w:val="005606DE"/>
    <w:rsid w:val="00570CBE"/>
    <w:rsid w:val="00573224"/>
    <w:rsid w:val="00576555"/>
    <w:rsid w:val="00594358"/>
    <w:rsid w:val="005955CA"/>
    <w:rsid w:val="005C2D8D"/>
    <w:rsid w:val="005C4503"/>
    <w:rsid w:val="005D4332"/>
    <w:rsid w:val="005D6D90"/>
    <w:rsid w:val="005E78B0"/>
    <w:rsid w:val="005F0506"/>
    <w:rsid w:val="005F4129"/>
    <w:rsid w:val="005F561B"/>
    <w:rsid w:val="00600653"/>
    <w:rsid w:val="0060255F"/>
    <w:rsid w:val="006227E3"/>
    <w:rsid w:val="00630AB2"/>
    <w:rsid w:val="00630EC6"/>
    <w:rsid w:val="0063529E"/>
    <w:rsid w:val="006408BD"/>
    <w:rsid w:val="00653B6B"/>
    <w:rsid w:val="00660122"/>
    <w:rsid w:val="006626CE"/>
    <w:rsid w:val="0066544F"/>
    <w:rsid w:val="00666646"/>
    <w:rsid w:val="0067711B"/>
    <w:rsid w:val="00681C06"/>
    <w:rsid w:val="00684CF4"/>
    <w:rsid w:val="006907A8"/>
    <w:rsid w:val="006A562E"/>
    <w:rsid w:val="006C1DB8"/>
    <w:rsid w:val="006D20CE"/>
    <w:rsid w:val="006D3B87"/>
    <w:rsid w:val="006D3C21"/>
    <w:rsid w:val="006D5C49"/>
    <w:rsid w:val="006D788E"/>
    <w:rsid w:val="006E7621"/>
    <w:rsid w:val="006F6978"/>
    <w:rsid w:val="0070028A"/>
    <w:rsid w:val="00700446"/>
    <w:rsid w:val="0070550C"/>
    <w:rsid w:val="00706AC6"/>
    <w:rsid w:val="0071475D"/>
    <w:rsid w:val="007206E0"/>
    <w:rsid w:val="00721ECC"/>
    <w:rsid w:val="00731F52"/>
    <w:rsid w:val="007428A9"/>
    <w:rsid w:val="00745CCB"/>
    <w:rsid w:val="00747B90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D3385"/>
    <w:rsid w:val="007F0363"/>
    <w:rsid w:val="0081401E"/>
    <w:rsid w:val="00815ECE"/>
    <w:rsid w:val="0083640C"/>
    <w:rsid w:val="0084233D"/>
    <w:rsid w:val="00850F5F"/>
    <w:rsid w:val="008654BA"/>
    <w:rsid w:val="00867F4E"/>
    <w:rsid w:val="00876AC7"/>
    <w:rsid w:val="0088074E"/>
    <w:rsid w:val="00882894"/>
    <w:rsid w:val="00883815"/>
    <w:rsid w:val="00891B91"/>
    <w:rsid w:val="00893E16"/>
    <w:rsid w:val="008A0BA0"/>
    <w:rsid w:val="008A3444"/>
    <w:rsid w:val="008A6A32"/>
    <w:rsid w:val="008B08DE"/>
    <w:rsid w:val="008B3EEF"/>
    <w:rsid w:val="008B459B"/>
    <w:rsid w:val="008B6947"/>
    <w:rsid w:val="008B7A40"/>
    <w:rsid w:val="008C551E"/>
    <w:rsid w:val="008D5A86"/>
    <w:rsid w:val="008D713F"/>
    <w:rsid w:val="008D73AA"/>
    <w:rsid w:val="008E1D16"/>
    <w:rsid w:val="008E69F7"/>
    <w:rsid w:val="0090411C"/>
    <w:rsid w:val="00930EF8"/>
    <w:rsid w:val="009331AD"/>
    <w:rsid w:val="009360B0"/>
    <w:rsid w:val="00942CEB"/>
    <w:rsid w:val="00954ED3"/>
    <w:rsid w:val="009561DC"/>
    <w:rsid w:val="009707AF"/>
    <w:rsid w:val="00972728"/>
    <w:rsid w:val="0097758A"/>
    <w:rsid w:val="00992928"/>
    <w:rsid w:val="00995410"/>
    <w:rsid w:val="009956D7"/>
    <w:rsid w:val="00996853"/>
    <w:rsid w:val="009977A5"/>
    <w:rsid w:val="009C3903"/>
    <w:rsid w:val="009D620C"/>
    <w:rsid w:val="009D6805"/>
    <w:rsid w:val="009E4381"/>
    <w:rsid w:val="009E53C2"/>
    <w:rsid w:val="009F2ED4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BA0"/>
    <w:rsid w:val="00A3083F"/>
    <w:rsid w:val="00A31770"/>
    <w:rsid w:val="00A32242"/>
    <w:rsid w:val="00A32453"/>
    <w:rsid w:val="00A418B8"/>
    <w:rsid w:val="00A43A1D"/>
    <w:rsid w:val="00A614F8"/>
    <w:rsid w:val="00A62ED9"/>
    <w:rsid w:val="00A679B1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B28F1"/>
    <w:rsid w:val="00AB612C"/>
    <w:rsid w:val="00AB6EC0"/>
    <w:rsid w:val="00AB7F71"/>
    <w:rsid w:val="00AC5EF5"/>
    <w:rsid w:val="00AC62BE"/>
    <w:rsid w:val="00AD5D57"/>
    <w:rsid w:val="00AD6A2B"/>
    <w:rsid w:val="00AE3DF7"/>
    <w:rsid w:val="00B0319A"/>
    <w:rsid w:val="00B12478"/>
    <w:rsid w:val="00B22729"/>
    <w:rsid w:val="00B42101"/>
    <w:rsid w:val="00B42FAF"/>
    <w:rsid w:val="00B456CA"/>
    <w:rsid w:val="00B47A66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A14CA"/>
    <w:rsid w:val="00BA2F75"/>
    <w:rsid w:val="00BA3DCF"/>
    <w:rsid w:val="00BA503E"/>
    <w:rsid w:val="00BB0561"/>
    <w:rsid w:val="00BB0C54"/>
    <w:rsid w:val="00BC2276"/>
    <w:rsid w:val="00BC4D03"/>
    <w:rsid w:val="00BC6009"/>
    <w:rsid w:val="00BD1D37"/>
    <w:rsid w:val="00BD44FF"/>
    <w:rsid w:val="00BE5071"/>
    <w:rsid w:val="00BF5BEF"/>
    <w:rsid w:val="00C04500"/>
    <w:rsid w:val="00C07AE8"/>
    <w:rsid w:val="00C146D8"/>
    <w:rsid w:val="00C161F0"/>
    <w:rsid w:val="00C33A30"/>
    <w:rsid w:val="00C34C36"/>
    <w:rsid w:val="00C37DA4"/>
    <w:rsid w:val="00C545DC"/>
    <w:rsid w:val="00C60410"/>
    <w:rsid w:val="00C70E2E"/>
    <w:rsid w:val="00C71872"/>
    <w:rsid w:val="00C73BBD"/>
    <w:rsid w:val="00C77B53"/>
    <w:rsid w:val="00C84E9C"/>
    <w:rsid w:val="00C9643B"/>
    <w:rsid w:val="00CA6AAB"/>
    <w:rsid w:val="00CB7DD5"/>
    <w:rsid w:val="00CC5BC5"/>
    <w:rsid w:val="00CD502C"/>
    <w:rsid w:val="00CE0C89"/>
    <w:rsid w:val="00CE4866"/>
    <w:rsid w:val="00CE6F48"/>
    <w:rsid w:val="00D05DD9"/>
    <w:rsid w:val="00D06DC5"/>
    <w:rsid w:val="00D16580"/>
    <w:rsid w:val="00D241D9"/>
    <w:rsid w:val="00D3051D"/>
    <w:rsid w:val="00D31FF3"/>
    <w:rsid w:val="00D32C7B"/>
    <w:rsid w:val="00D40B7C"/>
    <w:rsid w:val="00D44B51"/>
    <w:rsid w:val="00D55038"/>
    <w:rsid w:val="00D63064"/>
    <w:rsid w:val="00D63279"/>
    <w:rsid w:val="00D94E6A"/>
    <w:rsid w:val="00D970FC"/>
    <w:rsid w:val="00DA42F5"/>
    <w:rsid w:val="00DC5775"/>
    <w:rsid w:val="00DD6BAF"/>
    <w:rsid w:val="00DE19A0"/>
    <w:rsid w:val="00DE3F27"/>
    <w:rsid w:val="00DE461E"/>
    <w:rsid w:val="00DF1E04"/>
    <w:rsid w:val="00DF39E8"/>
    <w:rsid w:val="00E00A61"/>
    <w:rsid w:val="00E05C95"/>
    <w:rsid w:val="00E11CB2"/>
    <w:rsid w:val="00E22FB2"/>
    <w:rsid w:val="00E31651"/>
    <w:rsid w:val="00E355CE"/>
    <w:rsid w:val="00E35A19"/>
    <w:rsid w:val="00E3634C"/>
    <w:rsid w:val="00E420A6"/>
    <w:rsid w:val="00E47F2E"/>
    <w:rsid w:val="00E851F7"/>
    <w:rsid w:val="00E903BB"/>
    <w:rsid w:val="00E935E9"/>
    <w:rsid w:val="00E954A4"/>
    <w:rsid w:val="00EA42DD"/>
    <w:rsid w:val="00EB6500"/>
    <w:rsid w:val="00EB73DE"/>
    <w:rsid w:val="00EC04C2"/>
    <w:rsid w:val="00EC27EB"/>
    <w:rsid w:val="00EC51C5"/>
    <w:rsid w:val="00ED2182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17593"/>
    <w:rsid w:val="00F52EAC"/>
    <w:rsid w:val="00F556C9"/>
    <w:rsid w:val="00F66428"/>
    <w:rsid w:val="00F75158"/>
    <w:rsid w:val="00F75552"/>
    <w:rsid w:val="00F776FD"/>
    <w:rsid w:val="00F86B82"/>
    <w:rsid w:val="00F9577F"/>
    <w:rsid w:val="00FA3D5F"/>
    <w:rsid w:val="00FA553D"/>
    <w:rsid w:val="00FA6F90"/>
    <w:rsid w:val="00FB010D"/>
    <w:rsid w:val="00FB0886"/>
    <w:rsid w:val="00FB3DBB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  <w:style w:type="character" w:customStyle="1" w:styleId="il">
    <w:name w:val="il"/>
    <w:basedOn w:val="Fuentedeprrafopredeter"/>
    <w:rsid w:val="00C7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rcotec.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3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3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B460E33-AB71-4D28-8EBD-D730A80A2095}">
  <ds:schemaRefs/>
</ds:datastoreItem>
</file>

<file path=customXml/itemProps8.xml><?xml version="1.0" encoding="utf-8"?>
<ds:datastoreItem xmlns:ds="http://schemas.openxmlformats.org/officeDocument/2006/customXml" ds:itemID="{AF5170E0-BB25-4BBF-BFAD-82069B3E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2018-08-31T12:49:00Z</cp:lastPrinted>
  <dcterms:created xsi:type="dcterms:W3CDTF">2022-11-07T19:41:00Z</dcterms:created>
  <dcterms:modified xsi:type="dcterms:W3CDTF">2022-11-07T19:41:00Z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