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093E7" w14:textId="77777777" w:rsidR="00F977F3" w:rsidRDefault="00F977F3" w:rsidP="00F977F3">
      <w:pPr>
        <w:jc w:val="center"/>
        <w:rPr>
          <w:b/>
          <w:sz w:val="40"/>
        </w:rPr>
      </w:pPr>
      <w:r>
        <w:rPr>
          <w:b/>
          <w:noProof/>
          <w:sz w:val="40"/>
        </w:rPr>
        <w:drawing>
          <wp:anchor distT="0" distB="0" distL="114300" distR="114300" simplePos="0" relativeHeight="251667456" behindDoc="1" locked="0" layoutInCell="1" allowOverlap="1" wp14:anchorId="2DEC82F9" wp14:editId="6569627F">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4F36C7AE" w14:textId="77777777" w:rsidR="00F977F3" w:rsidRDefault="00F977F3" w:rsidP="00F977F3">
      <w:pPr>
        <w:jc w:val="center"/>
        <w:rPr>
          <w:b/>
          <w:sz w:val="40"/>
        </w:rPr>
      </w:pPr>
    </w:p>
    <w:p w14:paraId="039731FC" w14:textId="77777777" w:rsidR="00F977F3" w:rsidRDefault="00F977F3" w:rsidP="00F977F3">
      <w:pPr>
        <w:jc w:val="center"/>
        <w:rPr>
          <w:b/>
          <w:sz w:val="40"/>
        </w:rPr>
      </w:pPr>
    </w:p>
    <w:p w14:paraId="5A6546DE" w14:textId="77777777" w:rsidR="00F977F3" w:rsidRDefault="00F977F3" w:rsidP="00F977F3">
      <w:pPr>
        <w:jc w:val="center"/>
        <w:rPr>
          <w:b/>
          <w:sz w:val="40"/>
        </w:rPr>
      </w:pPr>
    </w:p>
    <w:p w14:paraId="7A5CA6EF" w14:textId="77777777" w:rsidR="00F977F3" w:rsidRDefault="00F977F3" w:rsidP="00F977F3">
      <w:pPr>
        <w:jc w:val="center"/>
        <w:rPr>
          <w:b/>
          <w:sz w:val="40"/>
        </w:rPr>
      </w:pPr>
    </w:p>
    <w:p w14:paraId="4F7D1B6E" w14:textId="77777777" w:rsidR="00F977F3" w:rsidRDefault="00F977F3" w:rsidP="00F977F3">
      <w:pPr>
        <w:jc w:val="center"/>
        <w:rPr>
          <w:b/>
          <w:sz w:val="40"/>
        </w:rPr>
      </w:pPr>
      <w:r w:rsidRPr="003A555F">
        <w:rPr>
          <w:b/>
          <w:sz w:val="40"/>
        </w:rPr>
        <w:t>MODIFICACIÓN DE BASES</w:t>
      </w:r>
    </w:p>
    <w:p w14:paraId="0D922780" w14:textId="77777777" w:rsidR="00F977F3" w:rsidRPr="003A555F" w:rsidRDefault="00F977F3" w:rsidP="00F977F3">
      <w:pPr>
        <w:jc w:val="center"/>
        <w:rPr>
          <w:b/>
          <w:sz w:val="40"/>
        </w:rPr>
      </w:pPr>
    </w:p>
    <w:p w14:paraId="3B02197D" w14:textId="77777777" w:rsidR="00F977F3" w:rsidRDefault="00F977F3" w:rsidP="00F977F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5A98AEE5" w14:textId="77777777" w:rsidR="00F977F3" w:rsidRDefault="00F977F3" w:rsidP="00F977F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2E7A62E8" w14:textId="77777777" w:rsidR="00F977F3" w:rsidRDefault="00F977F3" w:rsidP="00F977F3">
      <w:pPr>
        <w:tabs>
          <w:tab w:val="left" w:pos="1650"/>
          <w:tab w:val="center" w:pos="4419"/>
        </w:tabs>
        <w:spacing w:before="240" w:after="240"/>
        <w:jc w:val="center"/>
        <w:rPr>
          <w:rFonts w:ascii="gobCL" w:eastAsia="gobCL" w:hAnsi="gobCL" w:cs="gobCL"/>
          <w:b/>
          <w:color w:val="000000"/>
          <w:sz w:val="36"/>
          <w:szCs w:val="36"/>
        </w:rPr>
      </w:pPr>
    </w:p>
    <w:p w14:paraId="28311E59" w14:textId="77777777" w:rsidR="00F977F3" w:rsidRDefault="00F977F3" w:rsidP="00F977F3">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16F48C63" wp14:editId="3EBA7B2C">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5FB6B" w14:textId="77777777" w:rsidR="00F977F3" w:rsidRDefault="00F977F3" w:rsidP="00F977F3">
      <w:pPr>
        <w:tabs>
          <w:tab w:val="left" w:pos="1650"/>
          <w:tab w:val="center" w:pos="4419"/>
        </w:tabs>
        <w:spacing w:before="240" w:after="240"/>
        <w:jc w:val="center"/>
        <w:rPr>
          <w:rFonts w:ascii="gobCL" w:eastAsia="gobCL" w:hAnsi="gobCL" w:cs="gobCL"/>
          <w:b/>
          <w:color w:val="000000"/>
          <w:sz w:val="36"/>
          <w:szCs w:val="36"/>
        </w:rPr>
      </w:pPr>
    </w:p>
    <w:p w14:paraId="066B35D4" w14:textId="77777777" w:rsidR="00F977F3" w:rsidRDefault="00F977F3" w:rsidP="00F977F3"/>
    <w:p w14:paraId="59FCC687" w14:textId="77777777" w:rsidR="00F977F3" w:rsidRDefault="00F977F3" w:rsidP="00F977F3"/>
    <w:p w14:paraId="515911F1" w14:textId="77777777" w:rsidR="00F977F3" w:rsidRDefault="00F977F3" w:rsidP="00F977F3"/>
    <w:p w14:paraId="61122FC7" w14:textId="77777777" w:rsidR="00F977F3" w:rsidRDefault="00F977F3" w:rsidP="00F977F3"/>
    <w:p w14:paraId="6811E5B7" w14:textId="74F381E1" w:rsidR="00F977F3" w:rsidRDefault="00F977F3" w:rsidP="00F977F3">
      <w:pPr>
        <w:jc w:val="center"/>
        <w:rPr>
          <w:b/>
          <w:sz w:val="36"/>
        </w:rPr>
      </w:pPr>
      <w:r>
        <w:rPr>
          <w:b/>
          <w:sz w:val="36"/>
        </w:rPr>
        <w:t>Provincia de Santiago</w:t>
      </w:r>
    </w:p>
    <w:p w14:paraId="11BFCE58" w14:textId="2D3F14E8" w:rsidR="00F977F3" w:rsidRPr="00766CBD" w:rsidRDefault="00F977F3" w:rsidP="00F977F3">
      <w:pPr>
        <w:jc w:val="center"/>
        <w:rPr>
          <w:b/>
          <w:sz w:val="36"/>
        </w:rPr>
      </w:pPr>
      <w:r>
        <w:rPr>
          <w:b/>
          <w:sz w:val="36"/>
        </w:rPr>
        <w:t>Región Metropolitana</w:t>
      </w:r>
    </w:p>
    <w:p w14:paraId="0BB1B061" w14:textId="77777777" w:rsidR="00F977F3" w:rsidRDefault="00F977F3" w:rsidP="00F977F3"/>
    <w:p w14:paraId="3AC8206D" w14:textId="77777777" w:rsidR="00F977F3" w:rsidRPr="003A555F" w:rsidRDefault="00F977F3" w:rsidP="00F977F3">
      <w:pPr>
        <w:jc w:val="center"/>
        <w:rPr>
          <w:b/>
          <w:sz w:val="36"/>
        </w:rPr>
      </w:pPr>
      <w:r>
        <w:rPr>
          <w:b/>
          <w:sz w:val="36"/>
        </w:rPr>
        <w:t>Agosto</w:t>
      </w:r>
      <w:r w:rsidRPr="003A555F">
        <w:rPr>
          <w:b/>
          <w:sz w:val="36"/>
        </w:rPr>
        <w:t xml:space="preserve"> de 2022</w:t>
      </w:r>
    </w:p>
    <w:p w14:paraId="2A90CF5D" w14:textId="325E9051" w:rsidR="00F977F3" w:rsidRPr="004E57BA" w:rsidRDefault="00F977F3" w:rsidP="00F977F3">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la convocatoria Recupera </w:t>
      </w:r>
      <w:r>
        <w:rPr>
          <w:rFonts w:asciiTheme="majorHAnsi" w:hAnsiTheme="majorHAnsi" w:cstheme="majorHAnsi"/>
          <w:b w:val="0"/>
          <w:sz w:val="22"/>
          <w:szCs w:val="22"/>
        </w:rPr>
        <w:t>Turismo</w:t>
      </w:r>
      <w:r w:rsidRPr="004E57BA">
        <w:rPr>
          <w:rFonts w:asciiTheme="majorHAnsi" w:hAnsiTheme="majorHAnsi" w:cstheme="majorHAnsi"/>
          <w:b w:val="0"/>
          <w:sz w:val="22"/>
          <w:szCs w:val="22"/>
        </w:rPr>
        <w:t>,</w:t>
      </w:r>
      <w:r>
        <w:rPr>
          <w:rFonts w:asciiTheme="majorHAnsi" w:hAnsiTheme="majorHAnsi" w:cstheme="majorHAnsi"/>
          <w:b w:val="0"/>
          <w:sz w:val="22"/>
          <w:szCs w:val="22"/>
        </w:rPr>
        <w:t xml:space="preserve"> Provincia de Santiago,</w:t>
      </w:r>
      <w:r w:rsidRPr="004E57BA">
        <w:rPr>
          <w:rFonts w:asciiTheme="majorHAnsi" w:hAnsiTheme="majorHAnsi" w:cstheme="majorHAnsi"/>
          <w:b w:val="0"/>
          <w:sz w:val="22"/>
          <w:szCs w:val="22"/>
        </w:rPr>
        <w:t xml:space="preserve"> Región </w:t>
      </w:r>
      <w:r>
        <w:rPr>
          <w:rFonts w:asciiTheme="majorHAnsi" w:hAnsiTheme="majorHAnsi" w:cstheme="majorHAnsi"/>
          <w:b w:val="0"/>
          <w:sz w:val="22"/>
          <w:szCs w:val="22"/>
        </w:rPr>
        <w:t>Metropolitana,</w:t>
      </w:r>
      <w:r w:rsidRPr="004E57BA">
        <w:rPr>
          <w:rFonts w:asciiTheme="majorHAnsi" w:hAnsiTheme="majorHAnsi" w:cstheme="majorHAnsi"/>
          <w:b w:val="0"/>
          <w:sz w:val="22"/>
          <w:szCs w:val="22"/>
        </w:rPr>
        <w:t xml:space="preserve"> en el siguiente sentido:</w:t>
      </w:r>
    </w:p>
    <w:p w14:paraId="106FED7E" w14:textId="77777777" w:rsidR="00F977F3" w:rsidRPr="004E57BA" w:rsidRDefault="00F977F3" w:rsidP="00F977F3">
      <w:pPr>
        <w:rPr>
          <w:rFonts w:asciiTheme="majorHAnsi" w:hAnsiTheme="majorHAnsi" w:cstheme="majorHAnsi"/>
        </w:rPr>
      </w:pPr>
    </w:p>
    <w:p w14:paraId="30F6B1EC"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1.-  En el Punto 4. Evaluación</w:t>
      </w:r>
    </w:p>
    <w:p w14:paraId="03147897"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Donde dice:</w:t>
      </w:r>
    </w:p>
    <w:p w14:paraId="4362E1C4"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437BFCCA" w14:textId="77777777" w:rsidR="00F977F3" w:rsidRPr="004E57BA" w:rsidRDefault="00F977F3" w:rsidP="00F977F3">
      <w:pPr>
        <w:jc w:val="both"/>
        <w:rPr>
          <w:rFonts w:asciiTheme="majorHAnsi" w:hAnsiTheme="majorHAnsi" w:cstheme="majorHAnsi"/>
          <w:b/>
        </w:rPr>
      </w:pPr>
      <w:r w:rsidRPr="004E57BA">
        <w:rPr>
          <w:rFonts w:asciiTheme="majorHAnsi" w:hAnsiTheme="majorHAnsi" w:cstheme="majorHAnsi"/>
          <w:b/>
        </w:rPr>
        <w:t>Debe decir:</w:t>
      </w:r>
    </w:p>
    <w:p w14:paraId="069DA109"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68378CF7"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2.-  En el Punto 4. Evaluación</w:t>
      </w:r>
    </w:p>
    <w:p w14:paraId="3627D080"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Donde dice:</w:t>
      </w:r>
    </w:p>
    <w:p w14:paraId="30768023"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Punto 4.1. Cálculo de puntaje</w:t>
      </w:r>
    </w:p>
    <w:p w14:paraId="4D1E9D0D"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2A7BC980"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Fórmula de cálculo:</w:t>
      </w:r>
    </w:p>
    <w:p w14:paraId="69EDFBCE"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69E1F28A"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1C2276C5" w14:textId="77777777" w:rsidR="00F977F3" w:rsidRPr="004E57BA" w:rsidRDefault="00F977F3" w:rsidP="00F977F3">
      <w:pPr>
        <w:jc w:val="both"/>
        <w:rPr>
          <w:rFonts w:asciiTheme="majorHAnsi" w:hAnsiTheme="majorHAnsi" w:cstheme="majorHAnsi"/>
          <w:b/>
        </w:rPr>
      </w:pPr>
      <w:r w:rsidRPr="004E57BA">
        <w:rPr>
          <w:rFonts w:asciiTheme="majorHAnsi" w:hAnsiTheme="majorHAnsi" w:cstheme="majorHAnsi"/>
          <w:b/>
        </w:rPr>
        <w:t>Debe decir:</w:t>
      </w:r>
    </w:p>
    <w:p w14:paraId="713326D9"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Punto 4.1. Cálculo de puntaje</w:t>
      </w:r>
    </w:p>
    <w:p w14:paraId="52665761"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3B330A84"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Fórmula de cálculo:</w:t>
      </w:r>
    </w:p>
    <w:p w14:paraId="30274178"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6D07786D" w14:textId="77777777" w:rsidR="00F977F3" w:rsidRPr="004E57BA" w:rsidRDefault="00F977F3" w:rsidP="00F977F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52A3D3A6" w14:textId="77777777" w:rsidR="00F977F3" w:rsidRPr="004E57BA" w:rsidRDefault="00F977F3" w:rsidP="00F977F3">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71FB706D" w14:textId="77777777" w:rsidR="00F977F3" w:rsidRPr="004E57BA" w:rsidRDefault="00F977F3" w:rsidP="00F977F3">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5614FFBB" w14:textId="77777777" w:rsidR="00F977F3" w:rsidRPr="004E57BA" w:rsidRDefault="00F977F3" w:rsidP="00F977F3">
      <w:pPr>
        <w:rPr>
          <w:rFonts w:asciiTheme="majorHAnsi" w:hAnsiTheme="majorHAnsi" w:cstheme="majorHAnsi"/>
          <w:b/>
        </w:rPr>
      </w:pPr>
      <w:r w:rsidRPr="004E57BA">
        <w:rPr>
          <w:rFonts w:asciiTheme="majorHAnsi" w:hAnsiTheme="majorHAnsi" w:cstheme="majorHAnsi"/>
          <w:b/>
        </w:rPr>
        <w:t>Donde dice:</w:t>
      </w:r>
    </w:p>
    <w:p w14:paraId="7EA385C4" w14:textId="77777777" w:rsidR="00F977F3" w:rsidRPr="004E57BA" w:rsidRDefault="00F977F3" w:rsidP="00F977F3">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624FB26D" w14:textId="77777777" w:rsidR="00F977F3" w:rsidRPr="004E57BA" w:rsidRDefault="00F977F3" w:rsidP="00F977F3">
      <w:pPr>
        <w:jc w:val="both"/>
        <w:rPr>
          <w:rFonts w:asciiTheme="majorHAnsi" w:hAnsiTheme="majorHAnsi" w:cstheme="majorHAnsi"/>
          <w:color w:val="000000"/>
        </w:rPr>
      </w:pPr>
      <w:r w:rsidRPr="00477CC4">
        <w:rPr>
          <w:rFonts w:asciiTheme="majorHAnsi" w:hAnsiTheme="majorHAnsi" w:cstheme="majorHAnsi"/>
          <w:color w:val="000000"/>
        </w:rPr>
        <w:t xml:space="preserve">Solo se podrá financiar el </w:t>
      </w:r>
      <w:bookmarkStart w:id="0" w:name="_GoBack"/>
      <w:r w:rsidRPr="00477CC4">
        <w:rPr>
          <w:rFonts w:asciiTheme="majorHAnsi" w:hAnsiTheme="majorHAnsi" w:cstheme="majorHAnsi"/>
          <w:color w:val="000000"/>
        </w:rPr>
        <w:t>100%</w:t>
      </w:r>
      <w:bookmarkEnd w:id="0"/>
      <w:r w:rsidRPr="00477CC4">
        <w:rPr>
          <w:rFonts w:asciiTheme="majorHAnsi" w:hAnsiTheme="majorHAnsi" w:cstheme="majorHAnsi"/>
          <w:color w:val="000000"/>
        </w:rPr>
        <w:t xml:space="preserve"> de este ítem si el bien inmueble es de propiedad exclusiva del/la beneficiario/a o bajo régimen de sociedad conyugal o unión civil, o se encuentre en calidad de usufructuario.</w:t>
      </w:r>
    </w:p>
    <w:p w14:paraId="267CF41D" w14:textId="77777777" w:rsidR="00F977F3" w:rsidRPr="004E57BA" w:rsidRDefault="00F977F3" w:rsidP="00F977F3">
      <w:pPr>
        <w:jc w:val="both"/>
        <w:rPr>
          <w:rFonts w:asciiTheme="majorHAnsi" w:hAnsiTheme="majorHAnsi" w:cstheme="majorHAnsi"/>
          <w:b/>
        </w:rPr>
      </w:pPr>
      <w:r w:rsidRPr="004E57BA">
        <w:rPr>
          <w:rFonts w:asciiTheme="majorHAnsi" w:hAnsiTheme="majorHAnsi" w:cstheme="majorHAnsi"/>
          <w:b/>
        </w:rPr>
        <w:t>Debe decir:</w:t>
      </w:r>
    </w:p>
    <w:p w14:paraId="22ADC152" w14:textId="77777777" w:rsidR="00F977F3" w:rsidRPr="004E57BA" w:rsidRDefault="00F977F3" w:rsidP="00F977F3">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7EDE36E2" w14:textId="77777777" w:rsidR="00F977F3" w:rsidRPr="004E57BA" w:rsidRDefault="00F977F3" w:rsidP="00F977F3">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433D3FCE" w14:textId="1D543514" w:rsidR="00577FEF"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Santiago</w:t>
      </w:r>
    </w:p>
    <w:p w14:paraId="591E415D" w14:textId="600FBD62"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8BE8438" w14:textId="102594B1"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F977F3">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proofErr w:type="spellStart"/>
      <w:r w:rsidRPr="00773D06">
        <w:rPr>
          <w:rFonts w:ascii="gobCL" w:eastAsia="gobCL" w:hAnsi="gobCL" w:cs="gobCL"/>
          <w:color w:val="000000"/>
        </w:rPr>
        <w:t>C</w:t>
      </w:r>
      <w:r w:rsidR="00773D06" w:rsidRPr="00773D06">
        <w:rPr>
          <w:rFonts w:ascii="gobCL" w:eastAsia="gobCL" w:hAnsi="gobCL" w:cs="gobCL"/>
          <w:color w:val="000000"/>
        </w:rPr>
        <w:t>orfo</w:t>
      </w:r>
      <w:proofErr w:type="spellEnd"/>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3AC427EC" w:rsidR="00AE40B1" w:rsidRPr="00C17BD2" w:rsidRDefault="00AE40B1" w:rsidP="001A5D72">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23C4D26"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A5ED157"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562B8C">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562B8C">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59778357" w:rsidR="00190BE1" w:rsidRDefault="00C219F6">
      <w:pPr>
        <w:spacing w:before="240" w:after="240" w:line="240" w:lineRule="auto"/>
        <w:jc w:val="both"/>
        <w:rPr>
          <w:rFonts w:ascii="gobCL" w:hAnsi="gobCL"/>
          <w:color w:val="000000"/>
        </w:rPr>
      </w:pPr>
      <w:bookmarkStart w:id="3" w:name="_heading=h.3znysh7" w:colFirst="0" w:colLast="0"/>
      <w:bookmarkEnd w:id="3"/>
      <w:r w:rsidRPr="00C219F6">
        <w:rPr>
          <w:rFonts w:ascii="gobCL" w:hAnsi="gobCL"/>
          <w:color w:val="000000"/>
        </w:rPr>
        <w:t xml:space="preserve">Para que las personas interesadas realicen consultas, Sercotec dispondrá de un Agente Operador. Para esta convocatoria, el Agente asignado es: </w:t>
      </w:r>
      <w:proofErr w:type="spellStart"/>
      <w:r w:rsidRPr="00C219F6">
        <w:rPr>
          <w:rFonts w:ascii="gobCL" w:hAnsi="gobCL"/>
          <w:color w:val="000000"/>
        </w:rPr>
        <w:t>Codesser</w:t>
      </w:r>
      <w:proofErr w:type="spellEnd"/>
      <w:r w:rsidRPr="00C219F6">
        <w:rPr>
          <w:rFonts w:ascii="gobCL" w:hAnsi="gobCL"/>
          <w:color w:val="000000"/>
        </w:rPr>
        <w:t xml:space="preserve">, teléfono +56226724924 - +56995598473, correo electrónico fortalece.rm@codesser.cl. Además, puede pedir orientación a los Puntos </w:t>
      </w:r>
      <w:proofErr w:type="spellStart"/>
      <w:r w:rsidRPr="00C219F6">
        <w:rPr>
          <w:rFonts w:ascii="gobCL" w:hAnsi="gobCL"/>
          <w:color w:val="000000"/>
        </w:rPr>
        <w:t>Mipe</w:t>
      </w:r>
      <w:proofErr w:type="spellEnd"/>
      <w:r w:rsidRPr="00C219F6">
        <w:rPr>
          <w:rFonts w:ascii="gobCL" w:hAnsi="gobCL"/>
          <w:color w:val="000000"/>
        </w:rPr>
        <w:t xml:space="preserve">, a los teléfonos 232425432 - 232425430 - 232425425- 232425424 o bien, ingresando a </w:t>
      </w:r>
      <w:hyperlink r:id="rId16" w:history="1">
        <w:r w:rsidRPr="00C219F6">
          <w:rPr>
            <w:rStyle w:val="Hipervnculo"/>
            <w:rFonts w:ascii="gobCL" w:hAnsi="gobCL"/>
          </w:rPr>
          <w:t>www.sercotec.cl</w:t>
        </w:r>
      </w:hyperlink>
      <w:r w:rsidRPr="00C219F6">
        <w:rPr>
          <w:rFonts w:ascii="gobCL" w:hAnsi="gobCL"/>
          <w:color w:val="000000"/>
        </w:rPr>
        <w:t>.</w:t>
      </w:r>
    </w:p>
    <w:p w14:paraId="58F68323" w14:textId="77777777" w:rsidR="00C219F6" w:rsidRPr="00C219F6" w:rsidRDefault="00C219F6">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CCA838F"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w:t>
      </w:r>
      <w:r w:rsidR="006303A5">
        <w:rPr>
          <w:rFonts w:ascii="gobCL" w:eastAsia="gobCL" w:hAnsi="gobCL" w:cs="gobCL"/>
        </w:rPr>
        <w:t>n sido subidos separadamente.</w:t>
      </w:r>
    </w:p>
    <w:p w14:paraId="15D2F567" w14:textId="279AD015"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F977F3">
        <w:rPr>
          <w:rFonts w:ascii="gobCL" w:eastAsia="gobCL" w:hAnsi="gobCL" w:cs="gobCL"/>
          <w:b/>
        </w:rPr>
        <w:t xml:space="preserve">den </w:t>
      </w:r>
      <w:proofErr w:type="gramStart"/>
      <w:r w:rsidR="00F977F3">
        <w:rPr>
          <w:rFonts w:ascii="gobCL" w:eastAsia="gobCL" w:hAnsi="gobCL" w:cs="gobCL"/>
          <w:b/>
        </w:rPr>
        <w:t xml:space="preserve">cuenta </w:t>
      </w:r>
      <w:r w:rsidRPr="005A4D8B">
        <w:rPr>
          <w:rFonts w:ascii="gobCL" w:eastAsia="gobCL" w:hAnsi="gobCL" w:cs="gobCL"/>
          <w:b/>
        </w:rPr>
        <w:t xml:space="preserve"> </w:t>
      </w:r>
      <w:r w:rsidR="00F977F3">
        <w:rPr>
          <w:rFonts w:ascii="gobCL" w:eastAsia="gobCL" w:hAnsi="gobCL" w:cs="gobCL"/>
          <w:b/>
        </w:rPr>
        <w:t>d</w:t>
      </w:r>
      <w:r w:rsidRPr="005A4D8B">
        <w:rPr>
          <w:rFonts w:ascii="gobCL" w:eastAsia="gobCL" w:hAnsi="gobCL" w:cs="gobCL"/>
          <w:b/>
        </w:rPr>
        <w:t>el</w:t>
      </w:r>
      <w:proofErr w:type="gramEnd"/>
      <w:r w:rsidRPr="005A4D8B">
        <w:rPr>
          <w:rFonts w:ascii="gobCL" w:eastAsia="gobCL" w:hAnsi="gobCL" w:cs="gobCL"/>
          <w:b/>
        </w:rPr>
        <w:t xml:space="preserve">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35594163"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C2E4251" w14:textId="25C0BC99" w:rsidR="002C637D" w:rsidRDefault="002C637D">
      <w:pPr>
        <w:spacing w:before="240" w:after="240" w:line="240" w:lineRule="auto"/>
        <w:jc w:val="both"/>
        <w:rPr>
          <w:rFonts w:ascii="gobCL" w:eastAsia="gobCL" w:hAnsi="gobCL" w:cs="gobCL"/>
          <w:b/>
        </w:rPr>
      </w:pPr>
      <w:r w:rsidRPr="002C637D">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w:t>
            </w:r>
            <w:proofErr w:type="spellStart"/>
            <w:r>
              <w:rPr>
                <w:rFonts w:ascii="gobCL" w:eastAsia="gobCL" w:hAnsi="gobCL" w:cs="gobCL"/>
              </w:rPr>
              <w:t>Sernatur</w:t>
            </w:r>
            <w:proofErr w:type="spellEnd"/>
            <w:r>
              <w:rPr>
                <w:rFonts w:ascii="gobCL" w:eastAsia="gobCL" w:hAnsi="gobCL" w:cs="gobCL"/>
              </w:rPr>
              <w:t xml:space="preserve">.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 xml:space="preserve">PAR Chile Apoya Turismo 2022, de </w:t>
            </w:r>
            <w:proofErr w:type="spellStart"/>
            <w:r w:rsidR="00773D06" w:rsidRPr="00773D06">
              <w:rPr>
                <w:rFonts w:ascii="gobCL" w:eastAsia="gobCL" w:hAnsi="gobCL" w:cs="gobCL"/>
                <w:color w:val="000000"/>
              </w:rPr>
              <w:t>Corfo</w:t>
            </w:r>
            <w:proofErr w:type="spellEnd"/>
            <w:r w:rsidR="00773D06" w:rsidRPr="00773D06">
              <w:rPr>
                <w:rFonts w:ascii="gobCL" w:eastAsia="gobCL" w:hAnsi="gobCL" w:cs="gobCL"/>
                <w:color w:val="000000"/>
              </w:rPr>
              <w:t>.</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0CC60E90"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40BDB16D"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1A5D72">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2E685810"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AD79" w14:textId="77777777" w:rsidR="00C02AE3" w:rsidRDefault="00C02AE3" w:rsidP="00BD3964">
      <w:pPr>
        <w:spacing w:after="0" w:line="240" w:lineRule="auto"/>
      </w:pPr>
      <w:r>
        <w:separator/>
      </w:r>
    </w:p>
  </w:endnote>
  <w:endnote w:type="continuationSeparator" w:id="0">
    <w:p w14:paraId="1DAC32CB" w14:textId="77777777" w:rsidR="00C02AE3" w:rsidRDefault="00C02AE3"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C481C" w14:textId="77777777" w:rsidR="00C02AE3" w:rsidRDefault="00C02AE3" w:rsidP="00BD3964">
      <w:pPr>
        <w:spacing w:after="0" w:line="240" w:lineRule="auto"/>
      </w:pPr>
      <w:r>
        <w:separator/>
      </w:r>
    </w:p>
  </w:footnote>
  <w:footnote w:type="continuationSeparator" w:id="0">
    <w:p w14:paraId="5BA5801A" w14:textId="77777777" w:rsidR="00C02AE3" w:rsidRDefault="00C02AE3" w:rsidP="00BD3964">
      <w:pPr>
        <w:spacing w:after="0" w:line="240" w:lineRule="auto"/>
      </w:pPr>
      <w:r>
        <w:continuationSeparator/>
      </w:r>
    </w:p>
  </w:footnote>
  <w:footnote w:id="1">
    <w:p w14:paraId="0F0CF7AA" w14:textId="77777777" w:rsidR="00F977F3" w:rsidRPr="002E7EE6" w:rsidRDefault="00F977F3"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F977F3" w:rsidRPr="002E7EE6" w:rsidRDefault="00F977F3" w:rsidP="00C74AE4">
      <w:pPr>
        <w:pStyle w:val="Textonotapie"/>
        <w:rPr>
          <w:lang w:val="es-419"/>
        </w:rPr>
      </w:pPr>
    </w:p>
  </w:footnote>
  <w:footnote w:id="2">
    <w:p w14:paraId="37A5DFAD" w14:textId="05E5C700" w:rsidR="00F977F3" w:rsidRPr="007E7445" w:rsidRDefault="00F977F3">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F977F3" w:rsidRPr="004B1C4D" w:rsidRDefault="00F977F3"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F977F3" w:rsidRPr="004B1C4D" w:rsidRDefault="00F977F3"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F977F3" w:rsidRPr="00973621" w:rsidRDefault="00F977F3"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F977F3" w:rsidRDefault="00F977F3"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3F73"/>
    <w:rsid w:val="001572C5"/>
    <w:rsid w:val="00171A75"/>
    <w:rsid w:val="00171FDA"/>
    <w:rsid w:val="0017472E"/>
    <w:rsid w:val="001809B6"/>
    <w:rsid w:val="001835F4"/>
    <w:rsid w:val="00190BE1"/>
    <w:rsid w:val="00196009"/>
    <w:rsid w:val="001A4870"/>
    <w:rsid w:val="001A5D72"/>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7D"/>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85A01"/>
    <w:rsid w:val="00494FC5"/>
    <w:rsid w:val="004A5895"/>
    <w:rsid w:val="004C2D09"/>
    <w:rsid w:val="004C6F0F"/>
    <w:rsid w:val="004D0F78"/>
    <w:rsid w:val="004D1DC1"/>
    <w:rsid w:val="004D3BEF"/>
    <w:rsid w:val="004E6F07"/>
    <w:rsid w:val="004F4B32"/>
    <w:rsid w:val="004F52BB"/>
    <w:rsid w:val="00502653"/>
    <w:rsid w:val="00562B8C"/>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03A5"/>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8650E"/>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AE3"/>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548"/>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07A"/>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3592"/>
    <w:rsid w:val="00F977F3"/>
    <w:rsid w:val="00FB195E"/>
    <w:rsid w:val="00FC291A"/>
    <w:rsid w:val="00FC2A46"/>
    <w:rsid w:val="00FC4FA0"/>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50D0C-20A1-4EB2-BE28-1D566A2B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13671</Words>
  <Characters>75194</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2022-08-08T19:22:00Z</dcterms:created>
  <dcterms:modified xsi:type="dcterms:W3CDTF">2022-08-08T19:22:00Z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