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60F3C226"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175FE7">
        <w:rPr>
          <w:rFonts w:ascii="gobCL" w:eastAsia="gobCL" w:hAnsi="gobCL" w:cs="gobCL"/>
          <w:b/>
          <w:color w:val="000000"/>
          <w:sz w:val="36"/>
          <w:szCs w:val="36"/>
        </w:rPr>
        <w:t>de Los Ríos</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E895B31" w:rsidR="00AE40B1" w:rsidRPr="00C17BD2" w:rsidRDefault="00AE40B1" w:rsidP="00E7324F">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67C64FA"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F2A8741"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075A6C">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075A6C">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2788893" w14:textId="63980738" w:rsidR="00F8101C" w:rsidRDefault="00175FE7">
      <w:pPr>
        <w:spacing w:before="240" w:after="240" w:line="240" w:lineRule="auto"/>
        <w:jc w:val="both"/>
        <w:rPr>
          <w:rFonts w:ascii="gobCL" w:hAnsi="gobCL"/>
          <w:color w:val="000000"/>
        </w:rPr>
      </w:pPr>
      <w:bookmarkStart w:id="2" w:name="_heading=h.3znysh7" w:colFirst="0" w:colLast="0"/>
      <w:bookmarkEnd w:id="2"/>
      <w:r w:rsidRPr="00175FE7">
        <w:rPr>
          <w:rFonts w:ascii="gobCL" w:hAnsi="gobCL"/>
          <w:color w:val="000000"/>
        </w:rPr>
        <w:t xml:space="preserve">Para que las personas interesadas realicen consultas, Sercotec dispondrá de un Agente Operador. Para esta convocatoria, el Agente asignado es: FUDEA UFRO (Fundación de Desarrollo Educacional y Tecnológico La Araucanía), Teléfono 63 2277340, correo electrónico claudio.suazo@ufrontera.cl. Además, puede pedir orientación a los Puntos Mipe, a los teléfonos 63 2215005 o bien, ingresando a </w:t>
      </w:r>
      <w:hyperlink r:id="rId15" w:history="1">
        <w:r w:rsidRPr="00600F5C">
          <w:rPr>
            <w:rStyle w:val="Hipervnculo"/>
            <w:rFonts w:ascii="gobCL" w:hAnsi="gobCL"/>
          </w:rPr>
          <w:t>www.sercotec.cl</w:t>
        </w:r>
      </w:hyperlink>
      <w:r>
        <w:rPr>
          <w:rFonts w:ascii="gobCL" w:hAnsi="gobCL"/>
          <w:color w:val="000000"/>
        </w:rPr>
        <w:t xml:space="preserve">. </w:t>
      </w:r>
      <w:r w:rsidR="00B8202E">
        <w:rPr>
          <w:rFonts w:ascii="gobCL" w:hAnsi="gobCL"/>
          <w:color w:val="000000"/>
        </w:rPr>
        <w:t xml:space="preserve"> </w:t>
      </w:r>
    </w:p>
    <w:p w14:paraId="40666925" w14:textId="77777777" w:rsidR="0079191E" w:rsidRPr="00C219F6" w:rsidRDefault="0079191E">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F27BAC2"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w:t>
      </w:r>
      <w:r w:rsidR="00F06E03">
        <w:rPr>
          <w:rFonts w:ascii="gobCL" w:eastAsia="gobCL" w:hAnsi="gobCL" w:cs="gobCL"/>
        </w:rPr>
        <w:t>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3C6E254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E7324F">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D3AC688"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CA0C0" w14:textId="77777777" w:rsidR="0054467E" w:rsidRDefault="0054467E" w:rsidP="00BD3964">
      <w:pPr>
        <w:spacing w:after="0" w:line="240" w:lineRule="auto"/>
      </w:pPr>
      <w:r>
        <w:separator/>
      </w:r>
    </w:p>
  </w:endnote>
  <w:endnote w:type="continuationSeparator" w:id="0">
    <w:p w14:paraId="52074AAA" w14:textId="77777777" w:rsidR="0054467E" w:rsidRDefault="0054467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D0FA6" w14:textId="77777777" w:rsidR="0054467E" w:rsidRDefault="0054467E" w:rsidP="00BD3964">
      <w:pPr>
        <w:spacing w:after="0" w:line="240" w:lineRule="auto"/>
      </w:pPr>
      <w:r>
        <w:separator/>
      </w:r>
    </w:p>
  </w:footnote>
  <w:footnote w:type="continuationSeparator" w:id="0">
    <w:p w14:paraId="57B4F642" w14:textId="77777777" w:rsidR="0054467E" w:rsidRDefault="0054467E"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75A6C"/>
    <w:rsid w:val="00094364"/>
    <w:rsid w:val="000A36E2"/>
    <w:rsid w:val="000B1A1C"/>
    <w:rsid w:val="000C56DE"/>
    <w:rsid w:val="000C6CFC"/>
    <w:rsid w:val="000C7410"/>
    <w:rsid w:val="000D4A6E"/>
    <w:rsid w:val="000E5748"/>
    <w:rsid w:val="000F2C89"/>
    <w:rsid w:val="000F476B"/>
    <w:rsid w:val="00110C92"/>
    <w:rsid w:val="0011602A"/>
    <w:rsid w:val="00125BB2"/>
    <w:rsid w:val="00126745"/>
    <w:rsid w:val="001274D3"/>
    <w:rsid w:val="0013582D"/>
    <w:rsid w:val="001572C5"/>
    <w:rsid w:val="00171A75"/>
    <w:rsid w:val="00171FDA"/>
    <w:rsid w:val="0017472E"/>
    <w:rsid w:val="00175FE7"/>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4467E"/>
    <w:rsid w:val="005572A7"/>
    <w:rsid w:val="0057057B"/>
    <w:rsid w:val="0057172B"/>
    <w:rsid w:val="00577FEF"/>
    <w:rsid w:val="005812A2"/>
    <w:rsid w:val="005A2BB7"/>
    <w:rsid w:val="005A4D8B"/>
    <w:rsid w:val="005C667B"/>
    <w:rsid w:val="005E44B7"/>
    <w:rsid w:val="005F24DF"/>
    <w:rsid w:val="00601110"/>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191E"/>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9F7948"/>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AF7CF1"/>
    <w:rsid w:val="00B01642"/>
    <w:rsid w:val="00B25DD4"/>
    <w:rsid w:val="00B31F67"/>
    <w:rsid w:val="00B4230D"/>
    <w:rsid w:val="00B44602"/>
    <w:rsid w:val="00B63643"/>
    <w:rsid w:val="00B70CDB"/>
    <w:rsid w:val="00B76B5E"/>
    <w:rsid w:val="00B818F7"/>
    <w:rsid w:val="00B8202E"/>
    <w:rsid w:val="00B9611B"/>
    <w:rsid w:val="00BD00DD"/>
    <w:rsid w:val="00BD3964"/>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324F"/>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06E03"/>
    <w:rsid w:val="00F10DA3"/>
    <w:rsid w:val="00F1347A"/>
    <w:rsid w:val="00F21B4E"/>
    <w:rsid w:val="00F22110"/>
    <w:rsid w:val="00F27A04"/>
    <w:rsid w:val="00F3099E"/>
    <w:rsid w:val="00F34CC6"/>
    <w:rsid w:val="00F44D21"/>
    <w:rsid w:val="00F53A77"/>
    <w:rsid w:val="00F64A97"/>
    <w:rsid w:val="00F67F2B"/>
    <w:rsid w:val="00F71D11"/>
    <w:rsid w:val="00F8101C"/>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632B95-C305-4369-BCD4-6597CAAE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12899</Words>
  <Characters>70946</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2022-07-19T19:47:00Z</dcterms:created>
  <dcterms:modified xsi:type="dcterms:W3CDTF">2022-07-19T19:47:00Z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