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2D41DB6A"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854E4DD" w:rsidR="00C950E3" w:rsidRDefault="00F91D7A">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La Araucanía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29D086BF" w:rsidR="00AE40B1" w:rsidRPr="00C17BD2" w:rsidRDefault="00AE40B1" w:rsidP="004405E5">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528B382A"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16ED92EA"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E3442A">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E3442A">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29EE3A19" w:rsidR="00190BE1" w:rsidRDefault="00F91D7A">
      <w:pPr>
        <w:spacing w:before="240" w:after="240" w:line="240" w:lineRule="auto"/>
        <w:jc w:val="both"/>
        <w:rPr>
          <w:rFonts w:ascii="gobCL" w:eastAsia="gobCL" w:hAnsi="gobCL" w:cs="gobCL"/>
        </w:rPr>
      </w:pPr>
      <w:bookmarkStart w:id="2" w:name="_heading=h.3znysh7" w:colFirst="0" w:colLast="0"/>
      <w:bookmarkEnd w:id="2"/>
      <w:r w:rsidRPr="00F91D7A">
        <w:rPr>
          <w:rFonts w:ascii="gobCL" w:eastAsia="gobCL" w:hAnsi="gobCL" w:cs="gobCL"/>
        </w:rPr>
        <w:t xml:space="preserve">Para que las personas interesadas realicen consultas, Sercotec dispondrá de un Agente Operador. Para esta convocatoria, el Agente asignado es: paradigma, teléfono 45 2 231538, correo electrónico mpalominos@empresasparadigma.cl Además, puede pedir orientación a los Puntos Mipe, a los teléfonos 232425300, 2324253005, 2324253007 o bien, ingresando a </w:t>
      </w:r>
      <w:hyperlink r:id="rId15" w:history="1">
        <w:r w:rsidRPr="004C6FFE">
          <w:rPr>
            <w:rStyle w:val="Hipervnculo"/>
            <w:rFonts w:ascii="gobCL" w:eastAsia="gobCL" w:hAnsi="gobCL" w:cs="gobCL"/>
          </w:rPr>
          <w:t>www.sercotec.cl</w:t>
        </w:r>
      </w:hyperlink>
      <w:r w:rsidRPr="00F91D7A">
        <w:rPr>
          <w:rFonts w:ascii="gobCL" w:eastAsia="gobCL" w:hAnsi="gobCL" w:cs="gobCL"/>
        </w:rPr>
        <w:t>.</w:t>
      </w:r>
      <w:r>
        <w:rPr>
          <w:rFonts w:ascii="gobCL" w:eastAsia="gobCL" w:hAnsi="gobCL" w:cs="gobCL"/>
        </w:rPr>
        <w:t xml:space="preserve"> </w:t>
      </w:r>
      <w:r w:rsidR="00B324CB">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8ED7D27"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w:t>
      </w:r>
      <w:r w:rsidR="00C505AB">
        <w:rPr>
          <w:rFonts w:ascii="gobCL" w:eastAsia="gobCL" w:hAnsi="gobCL" w:cs="gobCL"/>
        </w:rPr>
        <w:t>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lastRenderedPageBreak/>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El Agente Operador debe realizar una planificación, previo acuerdo con los beneficiarios, definiendo fechas y lugar respectivo. Estas reuniones deberán llevarse a cabo en las </w:t>
      </w:r>
      <w:r>
        <w:rPr>
          <w:rFonts w:ascii="gobCL" w:eastAsia="gobCL" w:hAnsi="gobCL" w:cs="gobCL"/>
        </w:rPr>
        <w:lastRenderedPageBreak/>
        <w:t>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lastRenderedPageBreak/>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358BB34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4405E5">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41F6881D"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F0DD2" w14:textId="77777777" w:rsidR="00630A5C" w:rsidRDefault="00630A5C" w:rsidP="00BD3964">
      <w:pPr>
        <w:spacing w:after="0" w:line="240" w:lineRule="auto"/>
      </w:pPr>
      <w:r>
        <w:separator/>
      </w:r>
    </w:p>
  </w:endnote>
  <w:endnote w:type="continuationSeparator" w:id="0">
    <w:p w14:paraId="71324997" w14:textId="77777777" w:rsidR="00630A5C" w:rsidRDefault="00630A5C"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DA32" w14:textId="77777777" w:rsidR="00630A5C" w:rsidRDefault="00630A5C" w:rsidP="00BD3964">
      <w:pPr>
        <w:spacing w:after="0" w:line="240" w:lineRule="auto"/>
      </w:pPr>
      <w:r>
        <w:separator/>
      </w:r>
    </w:p>
  </w:footnote>
  <w:footnote w:type="continuationSeparator" w:id="0">
    <w:p w14:paraId="34757209" w14:textId="77777777" w:rsidR="00630A5C" w:rsidRDefault="00630A5C"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405E5"/>
    <w:rsid w:val="004529BA"/>
    <w:rsid w:val="00455F3A"/>
    <w:rsid w:val="00462FEF"/>
    <w:rsid w:val="00476636"/>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172BA"/>
    <w:rsid w:val="006239AB"/>
    <w:rsid w:val="00630392"/>
    <w:rsid w:val="00630A5C"/>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57A67"/>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B2EBF"/>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05A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3442A"/>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91D7A"/>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5A6D49-8B66-4EA5-B704-109DFF90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12894</Words>
  <Characters>70919</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2022-07-18T20:05:00Z</cp:lastPrinted>
  <dcterms:created xsi:type="dcterms:W3CDTF">2022-07-19T19:47:00Z</dcterms:created>
  <dcterms:modified xsi:type="dcterms:W3CDTF">2022-07-19T19:47:00Z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