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244525" w:rsidRPr="00B43A1F" w:rsidRDefault="004D2A02" w:rsidP="00244525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  <w:r w:rsidRPr="00F7120B"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inline distT="0" distB="0" distL="0" distR="0" wp14:anchorId="065564D8" wp14:editId="150A735C">
            <wp:extent cx="4124325" cy="3654151"/>
            <wp:effectExtent l="0" t="0" r="0" b="0"/>
            <wp:docPr id="3" name="Imagen 3" descr="C:\Users\carolina.ponce\Downloads\Crece_TXT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ponce\Downloads\Crece_TXTGr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43" cy="36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5" w:rsidRPr="00B43A1F" w:rsidRDefault="00244525" w:rsidP="00244525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4D2A02" w:rsidRDefault="004D2A02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4D2A02" w:rsidRPr="00896FC5" w:rsidRDefault="004D2A02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:rsidR="004D2A02" w:rsidRPr="00477C89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“</w:t>
      </w:r>
      <w:r w:rsidR="00F6459D">
        <w:rPr>
          <w:rFonts w:eastAsia="Arial Unicode MS" w:cs="Arial"/>
          <w:b/>
          <w:bCs/>
          <w:color w:val="000000" w:themeColor="text1"/>
          <w:sz w:val="40"/>
          <w:szCs w:val="40"/>
        </w:rPr>
        <w:t>INDUSTRIA CREATIVA</w:t>
      </w: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”</w:t>
      </w:r>
    </w:p>
    <w:p w:rsidR="004D2A02" w:rsidRPr="00477C89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D2A02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F6459D">
        <w:rPr>
          <w:rFonts w:eastAsia="Arial Unicode MS" w:cs="Arial"/>
          <w:b/>
          <w:bCs/>
          <w:color w:val="000000" w:themeColor="text1"/>
          <w:sz w:val="40"/>
          <w:szCs w:val="40"/>
        </w:rPr>
        <w:t>METROPOLITANA</w:t>
      </w:r>
    </w:p>
    <w:p w:rsidR="004D2A02" w:rsidRPr="00477C89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4D2A02" w:rsidRDefault="004D2A02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F6459D" w:rsidRPr="00FF7094" w:rsidRDefault="00F6459D" w:rsidP="00F6459D">
      <w:pPr>
        <w:jc w:val="both"/>
        <w:rPr>
          <w:rFonts w:cs="Arial"/>
          <w:bCs/>
          <w:szCs w:val="22"/>
          <w:lang w:val="es-ES_tradnl"/>
        </w:rPr>
      </w:pPr>
      <w:r w:rsidRPr="00FF7094">
        <w:rPr>
          <w:rFonts w:cs="Arial"/>
          <w:bCs/>
          <w:szCs w:val="22"/>
          <w:lang w:val="es-ES_tradnl"/>
        </w:rPr>
        <w:lastRenderedPageBreak/>
        <w:t>Por el presente acto, se modifican Bases de Postulación del Programa CRECE-FONDO DE DESARROLLO DE NEGOCIOS “INDUSTRIA CREATIVA” REGIÓN METROPOLITANA</w:t>
      </w:r>
      <w:r>
        <w:rPr>
          <w:rFonts w:cs="Arial"/>
          <w:bCs/>
          <w:szCs w:val="22"/>
          <w:lang w:val="es-ES_tradnl"/>
        </w:rPr>
        <w:t xml:space="preserve"> </w:t>
      </w:r>
      <w:r w:rsidRPr="00FF7094">
        <w:rPr>
          <w:rFonts w:cs="Arial"/>
          <w:bCs/>
          <w:szCs w:val="22"/>
          <w:lang w:val="es-ES_tradnl"/>
        </w:rPr>
        <w:t>2022”, en el siguiente sentido:</w:t>
      </w:r>
    </w:p>
    <w:p w:rsidR="00F6459D" w:rsidRPr="00FF7094" w:rsidRDefault="00F6459D" w:rsidP="00F6459D">
      <w:pPr>
        <w:jc w:val="both"/>
        <w:rPr>
          <w:rFonts w:cs="Arial"/>
          <w:bCs/>
          <w:szCs w:val="22"/>
          <w:lang w:val="es-ES_tradnl"/>
        </w:rPr>
      </w:pPr>
    </w:p>
    <w:p w:rsidR="00F6459D" w:rsidRPr="00FF7094" w:rsidRDefault="00F6459D" w:rsidP="00F6459D">
      <w:pPr>
        <w:jc w:val="both"/>
        <w:rPr>
          <w:rFonts w:cs="Arial"/>
          <w:b/>
          <w:bCs/>
          <w:szCs w:val="22"/>
          <w:lang w:val="es-ES_tradnl"/>
        </w:rPr>
      </w:pPr>
      <w:r w:rsidRPr="00FF7094">
        <w:rPr>
          <w:rFonts w:cs="Arial"/>
          <w:b/>
          <w:bCs/>
          <w:szCs w:val="22"/>
          <w:u w:val="single"/>
          <w:lang w:val="es-ES_tradnl"/>
        </w:rPr>
        <w:t>DONDE DICE</w:t>
      </w:r>
      <w:r w:rsidRPr="00FF7094">
        <w:rPr>
          <w:rFonts w:cs="Arial"/>
          <w:b/>
          <w:bCs/>
          <w:szCs w:val="22"/>
          <w:lang w:val="es-ES_tradnl"/>
        </w:rPr>
        <w:t>:</w:t>
      </w:r>
    </w:p>
    <w:p w:rsidR="00F6459D" w:rsidRPr="00FF7094" w:rsidRDefault="00F6459D" w:rsidP="00F6459D">
      <w:pPr>
        <w:jc w:val="both"/>
        <w:rPr>
          <w:rFonts w:cs="Arial"/>
          <w:bCs/>
          <w:szCs w:val="22"/>
          <w:lang w:val="es-ES_tradnl"/>
        </w:rPr>
      </w:pPr>
    </w:p>
    <w:p w:rsidR="00F6459D" w:rsidRPr="00FF7094" w:rsidRDefault="00F6459D" w:rsidP="00F6459D">
      <w:pPr>
        <w:jc w:val="both"/>
        <w:rPr>
          <w:rFonts w:cs="Arial"/>
          <w:b/>
          <w:bCs/>
          <w:szCs w:val="22"/>
          <w:lang w:val="es-ES_tradnl"/>
        </w:rPr>
      </w:pPr>
      <w:r w:rsidRPr="00FF7094">
        <w:rPr>
          <w:rFonts w:cs="Arial"/>
          <w:b/>
          <w:bCs/>
          <w:szCs w:val="22"/>
          <w:lang w:val="es-ES_tradnl"/>
        </w:rPr>
        <w:t>2.2. Pasos para postular</w:t>
      </w:r>
    </w:p>
    <w:p w:rsidR="00F6459D" w:rsidRPr="00FF7094" w:rsidRDefault="00F6459D" w:rsidP="00F6459D">
      <w:pPr>
        <w:jc w:val="both"/>
        <w:rPr>
          <w:rFonts w:cs="Arial"/>
          <w:bCs/>
          <w:szCs w:val="22"/>
          <w:lang w:val="es-ES_tradnl"/>
        </w:rPr>
      </w:pPr>
    </w:p>
    <w:p w:rsidR="00F6459D" w:rsidRPr="00FF7094" w:rsidRDefault="00F6459D" w:rsidP="00F6459D">
      <w:pPr>
        <w:jc w:val="both"/>
        <w:rPr>
          <w:rFonts w:cs="Arial"/>
          <w:b/>
          <w:bCs/>
          <w:szCs w:val="22"/>
          <w:lang w:val="es-ES_tradnl"/>
        </w:rPr>
      </w:pPr>
      <w:r w:rsidRPr="00FF7094">
        <w:rPr>
          <w:rFonts w:cs="Arial"/>
          <w:b/>
          <w:bCs/>
          <w:szCs w:val="22"/>
          <w:lang w:val="es-ES_tradnl"/>
        </w:rPr>
        <w:t xml:space="preserve">f) </w:t>
      </w:r>
      <w:r w:rsidRPr="00FF7094">
        <w:rPr>
          <w:rFonts w:cs="Arial"/>
          <w:b/>
          <w:bCs/>
          <w:szCs w:val="22"/>
          <w:u w:val="single"/>
          <w:lang w:val="es-ES_tradnl"/>
        </w:rPr>
        <w:t>Carpeta Tributaria</w:t>
      </w:r>
    </w:p>
    <w:p w:rsidR="00F6459D" w:rsidRDefault="00F6459D" w:rsidP="00F6459D">
      <w:pPr>
        <w:spacing w:before="240" w:after="240"/>
        <w:jc w:val="both"/>
        <w:rPr>
          <w:rFonts w:eastAsia="gobCL" w:cs="gobCL"/>
          <w:color w:val="000000"/>
        </w:rPr>
      </w:pPr>
      <w:r>
        <w:rPr>
          <w:rFonts w:eastAsia="gobCL" w:cs="gobCL"/>
        </w:rPr>
        <w:t>Cada empresa postulante deberá adjuntar su</w:t>
      </w:r>
      <w:r>
        <w:rPr>
          <w:rFonts w:eastAsia="gobCL" w:cs="gobCL"/>
          <w:b/>
          <w:color w:val="000000"/>
        </w:rPr>
        <w:t xml:space="preserve"> </w:t>
      </w:r>
      <w:r w:rsidRPr="00ED2019">
        <w:rPr>
          <w:rFonts w:eastAsia="gobCL" w:cs="gobCL"/>
          <w:b/>
          <w:color w:val="000000"/>
        </w:rPr>
        <w:t>Carpeta Tributaria Electrónica Personalizada  de 36 meses</w:t>
      </w:r>
      <w:r>
        <w:rPr>
          <w:rFonts w:eastAsia="gobCL" w:cs="gobCL"/>
          <w:color w:val="000000"/>
        </w:rPr>
        <w:t xml:space="preserve">, disponible en </w:t>
      </w:r>
      <w:hyperlink r:id="rId7">
        <w:r>
          <w:rPr>
            <w:rFonts w:eastAsia="gobCL" w:cs="gobCL"/>
            <w:color w:val="0563C1"/>
            <w:u w:val="single"/>
          </w:rPr>
          <w:t>www.sii.cl</w:t>
        </w:r>
      </w:hyperlink>
      <w:r>
        <w:rPr>
          <w:rFonts w:eastAsia="gobCL" w:cs="gobCL"/>
          <w:color w:val="000000"/>
        </w:rPr>
        <w:t xml:space="preserve">. </w:t>
      </w:r>
    </w:p>
    <w:p w:rsidR="00F6459D" w:rsidRDefault="00F6459D" w:rsidP="00F6459D">
      <w:pPr>
        <w:jc w:val="both"/>
        <w:rPr>
          <w:rFonts w:eastAsia="Arial Unicode MS" w:cs="Arial"/>
          <w:szCs w:val="22"/>
          <w:lang w:val="es-CL"/>
        </w:rPr>
      </w:pPr>
    </w:p>
    <w:p w:rsidR="00F6459D" w:rsidRDefault="00F6459D" w:rsidP="00F645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202124"/>
          <w:sz w:val="20"/>
          <w:szCs w:val="20"/>
          <w:shd w:val="clear" w:color="auto" w:fill="FFFFFF"/>
        </w:rPr>
      </w:pPr>
      <w:r w:rsidRPr="00B026B0">
        <w:rPr>
          <w:rFonts w:ascii="Wingdings" w:hAnsi="Wingdings"/>
          <w:color w:val="222222"/>
          <w:sz w:val="18"/>
          <w:szCs w:val="18"/>
          <w:shd w:val="clear" w:color="auto" w:fill="FFFFFF"/>
        </w:rPr>
        <w:t></w:t>
      </w:r>
      <w:r w:rsidRPr="00B026B0">
        <w:rPr>
          <w:rFonts w:ascii="Arial" w:hAnsi="Arial" w:cs="Arial"/>
          <w:color w:val="222222"/>
          <w:shd w:val="clear" w:color="auto" w:fill="FFFFFF"/>
        </w:rPr>
        <w:t> </w:t>
      </w:r>
      <w:r w:rsidRPr="00B026B0">
        <w:rPr>
          <w:rFonts w:cs="Arial"/>
          <w:color w:val="222222"/>
          <w:shd w:val="clear" w:color="auto" w:fill="FFFFFF"/>
        </w:rPr>
        <w:t>Ingresar a MI SII</w:t>
      </w:r>
      <w:r w:rsidRPr="00B026B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026B0">
        <w:rPr>
          <w:rFonts w:ascii="Wingdings" w:hAnsi="Wingdings"/>
          <w:color w:val="222222"/>
          <w:sz w:val="18"/>
          <w:szCs w:val="18"/>
          <w:shd w:val="clear" w:color="auto" w:fill="FFFFFF"/>
        </w:rPr>
        <w:t></w:t>
      </w:r>
      <w:r w:rsidRPr="00B026B0">
        <w:rPr>
          <w:rFonts w:ascii="Arial" w:hAnsi="Arial" w:cs="Arial"/>
          <w:color w:val="222222"/>
          <w:shd w:val="clear" w:color="auto" w:fill="FFFFFF"/>
        </w:rPr>
        <w:t> </w:t>
      </w:r>
      <w:r w:rsidRPr="00B026B0">
        <w:rPr>
          <w:rFonts w:cs="Arial"/>
          <w:color w:val="222222"/>
          <w:shd w:val="clear" w:color="auto" w:fill="FFFFFF"/>
        </w:rPr>
        <w:t>Seleccionar “Servicios Online”</w:t>
      </w:r>
      <w:r w:rsidRPr="00B026B0">
        <w:rPr>
          <w:rFonts w:ascii="Arial" w:hAnsi="Arial" w:cs="Arial"/>
          <w:color w:val="222222"/>
          <w:shd w:val="clear" w:color="auto" w:fill="FFFFFF"/>
        </w:rPr>
        <w:t> </w:t>
      </w:r>
      <w:r w:rsidRPr="00B026B0">
        <w:rPr>
          <w:rFonts w:ascii="Wingdings" w:hAnsi="Wingdings"/>
          <w:color w:val="222222"/>
          <w:sz w:val="18"/>
          <w:szCs w:val="18"/>
          <w:shd w:val="clear" w:color="auto" w:fill="FFFFFF"/>
        </w:rPr>
        <w:t></w:t>
      </w:r>
      <w:r w:rsidRPr="00B026B0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cs="Arial"/>
          <w:color w:val="222222"/>
          <w:shd w:val="clear" w:color="auto" w:fill="FFFFFF"/>
        </w:rPr>
        <w:t>Seleccionar</w:t>
      </w:r>
      <w:r w:rsidRPr="00B026B0">
        <w:rPr>
          <w:rFonts w:cs="Arial"/>
          <w:color w:val="222222"/>
          <w:shd w:val="clear" w:color="auto" w:fill="FFFFFF"/>
        </w:rPr>
        <w:t xml:space="preserve"> “</w:t>
      </w:r>
      <w:r>
        <w:rPr>
          <w:rFonts w:cs="Arial"/>
          <w:color w:val="222222"/>
          <w:shd w:val="clear" w:color="auto" w:fill="FFFFFF"/>
        </w:rPr>
        <w:t xml:space="preserve">Situación Tributaria” </w:t>
      </w:r>
      <w:r w:rsidRPr="00B026B0">
        <w:rPr>
          <w:rFonts w:ascii="Wingdings" w:hAnsi="Wingdings"/>
          <w:color w:val="222222"/>
          <w:sz w:val="18"/>
          <w:szCs w:val="18"/>
          <w:shd w:val="clear" w:color="auto" w:fill="FFFFFF"/>
        </w:rPr>
        <w:t></w:t>
      </w:r>
      <w:r w:rsidRPr="00B026B0">
        <w:rPr>
          <w:rFonts w:ascii="Arial" w:hAnsi="Arial" w:cs="Arial"/>
          <w:color w:val="222222"/>
          <w:shd w:val="clear" w:color="auto" w:fill="FFFFFF"/>
        </w:rPr>
        <w:t> </w:t>
      </w:r>
      <w:r w:rsidRPr="00B026B0">
        <w:rPr>
          <w:rFonts w:cs="Arial"/>
          <w:color w:val="222222"/>
          <w:shd w:val="clear" w:color="auto" w:fill="FFFFFF"/>
        </w:rPr>
        <w:t>Seleccionar “</w:t>
      </w:r>
      <w:r>
        <w:rPr>
          <w:rFonts w:cs="Arial"/>
          <w:color w:val="222222"/>
          <w:shd w:val="clear" w:color="auto" w:fill="FFFFFF"/>
        </w:rPr>
        <w:t>Carpeta Tributaria Electrónica”</w:t>
      </w:r>
      <w:r w:rsidRPr="00B026B0">
        <w:rPr>
          <w:rFonts w:ascii="Arial" w:hAnsi="Arial" w:cs="Arial"/>
          <w:color w:val="222222"/>
          <w:shd w:val="clear" w:color="auto" w:fill="FFFFFF"/>
        </w:rPr>
        <w:t> </w:t>
      </w:r>
      <w:r w:rsidRPr="00B026B0">
        <w:rPr>
          <w:rFonts w:ascii="Wingdings" w:hAnsi="Wingdings"/>
          <w:color w:val="222222"/>
          <w:sz w:val="18"/>
          <w:szCs w:val="18"/>
          <w:shd w:val="clear" w:color="auto" w:fill="FFFFFF"/>
        </w:rPr>
        <w:t></w:t>
      </w:r>
      <w:r>
        <w:rPr>
          <w:rFonts w:ascii="Wingdings" w:hAnsi="Wingdings"/>
          <w:color w:val="222222"/>
          <w:sz w:val="18"/>
          <w:szCs w:val="18"/>
          <w:shd w:val="clear" w:color="auto" w:fill="FFFFFF"/>
        </w:rPr>
        <w:t></w:t>
      </w:r>
      <w:hyperlink r:id="rId8" w:anchor="collapseTwo">
        <w:r w:rsidRPr="00264E71">
          <w:rPr>
            <w:rFonts w:cs="Arial"/>
            <w:shd w:val="clear" w:color="auto" w:fill="FFFFFF"/>
          </w:rPr>
          <w:t>Seleccionar “G</w:t>
        </w:r>
        <w:r>
          <w:rPr>
            <w:rStyle w:val="Hipervnculo"/>
            <w:rFonts w:eastAsia="Arial"/>
            <w:u w:val="none"/>
            <w:shd w:val="clear" w:color="auto" w:fill="FFFFFF"/>
          </w:rPr>
          <w:t xml:space="preserve">enerar Carpeta </w:t>
        </w:r>
      </w:hyperlink>
      <w:r>
        <w:rPr>
          <w:rStyle w:val="Hipervnculo"/>
          <w:rFonts w:eastAsia="Arial"/>
          <w:u w:val="none"/>
          <w:shd w:val="clear" w:color="auto" w:fill="FFFFFF"/>
        </w:rPr>
        <w:t>Personalizada” (36 meses)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. </w:t>
      </w:r>
    </w:p>
    <w:p w:rsidR="00F6459D" w:rsidRPr="00F91CF3" w:rsidRDefault="00F6459D" w:rsidP="00F645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202124"/>
          <w:sz w:val="20"/>
          <w:szCs w:val="20"/>
          <w:shd w:val="clear" w:color="auto" w:fill="FFFFFF"/>
        </w:rPr>
      </w:pPr>
    </w:p>
    <w:p w:rsidR="00F6459D" w:rsidRDefault="00F6459D" w:rsidP="00F6459D">
      <w:pPr>
        <w:jc w:val="both"/>
        <w:rPr>
          <w:rFonts w:eastAsia="gobCL" w:cs="gobCL"/>
          <w:b/>
          <w:color w:val="000000"/>
          <w:u w:val="single"/>
        </w:rPr>
      </w:pPr>
      <w:r>
        <w:rPr>
          <w:rFonts w:eastAsia="gobCL" w:cs="gobCL"/>
          <w:b/>
          <w:color w:val="000000"/>
          <w:u w:val="single"/>
        </w:rPr>
        <w:t xml:space="preserve">Cabe mencionar que NO se aceptará una carpeta tributaria distinta a la “carpeta tributaria electrónica personalizada </w:t>
      </w:r>
      <w:r w:rsidRPr="008427C8">
        <w:rPr>
          <w:rFonts w:eastAsia="gobCL" w:cs="gobCL"/>
          <w:b/>
          <w:color w:val="000000" w:themeColor="text1"/>
          <w:u w:val="single"/>
        </w:rPr>
        <w:t>de 36 meses</w:t>
      </w:r>
      <w:r w:rsidRPr="008427C8">
        <w:rPr>
          <w:rFonts w:eastAsia="gobCL" w:cs="gobCL"/>
          <w:b/>
          <w:color w:val="000000"/>
          <w:u w:val="single"/>
        </w:rPr>
        <w:t xml:space="preserve">” </w:t>
      </w:r>
      <w:r>
        <w:rPr>
          <w:rFonts w:eastAsia="gobCL" w:cs="gobCL"/>
          <w:b/>
          <w:color w:val="000000"/>
          <w:u w:val="single"/>
        </w:rPr>
        <w:t>que se genera en la página web del SII (Formato PDF).</w:t>
      </w:r>
    </w:p>
    <w:p w:rsidR="00F6459D" w:rsidRPr="00017271" w:rsidRDefault="00F6459D" w:rsidP="00F6459D">
      <w:pPr>
        <w:jc w:val="both"/>
        <w:rPr>
          <w:rFonts w:eastAsia="Arial Unicode MS" w:cs="Arial"/>
          <w:szCs w:val="22"/>
          <w:lang w:val="es-CL"/>
        </w:rPr>
      </w:pPr>
      <w:r w:rsidRPr="00017271">
        <w:rPr>
          <w:rFonts w:eastAsia="Arial Unicode MS" w:cs="Arial"/>
          <w:szCs w:val="22"/>
          <w:lang w:val="es-CL"/>
        </w:rPr>
        <w:t>En caso de adjuntar una carpeta tributaria distinta a la antes señalada, la empresa postulante será declarada inadmisible.</w:t>
      </w:r>
      <w:r w:rsidRPr="00017271" w:rsidDel="00113436">
        <w:rPr>
          <w:rFonts w:eastAsia="Arial Unicode MS" w:cs="Arial"/>
          <w:szCs w:val="22"/>
          <w:lang w:val="es-CL"/>
        </w:rPr>
        <w:t xml:space="preserve"> </w:t>
      </w:r>
      <w:r w:rsidRPr="00017271">
        <w:rPr>
          <w:rFonts w:eastAsia="Arial Unicode MS" w:cs="Arial"/>
          <w:szCs w:val="22"/>
          <w:lang w:val="es-CL"/>
        </w:rPr>
        <w:t xml:space="preserve">Por su parte, la carpeta tributaria sólo será válida, si el RUT emisor es el mismo que el RUT de la empresa postulante. </w:t>
      </w:r>
    </w:p>
    <w:p w:rsidR="00F6459D" w:rsidRDefault="00F6459D" w:rsidP="00F6459D">
      <w:pPr>
        <w:jc w:val="both"/>
        <w:rPr>
          <w:rFonts w:eastAsia="Arial Unicode MS" w:cs="Arial"/>
          <w:szCs w:val="22"/>
          <w:lang w:val="es-CL"/>
        </w:rPr>
      </w:pPr>
    </w:p>
    <w:p w:rsidR="00F6459D" w:rsidRDefault="00F6459D" w:rsidP="00F6459D">
      <w:pPr>
        <w:jc w:val="both"/>
        <w:rPr>
          <w:rFonts w:eastAsia="Arial Unicode MS" w:cs="Arial"/>
          <w:szCs w:val="22"/>
          <w:lang w:val="es-CL"/>
        </w:rPr>
      </w:pPr>
      <w:r w:rsidRPr="00017271">
        <w:rPr>
          <w:rFonts w:eastAsia="Arial Unicode MS" w:cs="Arial"/>
          <w:szCs w:val="22"/>
          <w:lang w:val="es-CL"/>
        </w:rPr>
        <w:t xml:space="preserve">Se deberá poner especial atención en que el documento contenga todos los formularios 29 de los períodos requeridos para efectos del cálculo del nivel </w:t>
      </w:r>
      <w:r>
        <w:rPr>
          <w:rFonts w:eastAsia="Arial Unicode MS" w:cs="Arial"/>
          <w:szCs w:val="22"/>
          <w:lang w:val="es-CL"/>
        </w:rPr>
        <w:t xml:space="preserve">y disminución </w:t>
      </w:r>
      <w:r w:rsidRPr="00017271">
        <w:rPr>
          <w:rFonts w:eastAsia="Arial Unicode MS" w:cs="Arial"/>
          <w:szCs w:val="22"/>
          <w:lang w:val="es-CL"/>
        </w:rPr>
        <w:t xml:space="preserve">de ventas. Este documento es obligatorio para todas las empresas postulantes. </w:t>
      </w:r>
    </w:p>
    <w:p w:rsidR="00F6459D" w:rsidRPr="00FF7094" w:rsidRDefault="00F6459D" w:rsidP="00F6459D">
      <w:pPr>
        <w:jc w:val="both"/>
        <w:rPr>
          <w:rFonts w:cs="Arial"/>
          <w:bCs/>
          <w:szCs w:val="22"/>
        </w:rPr>
      </w:pPr>
    </w:p>
    <w:p w:rsidR="00F6459D" w:rsidRPr="00FF7094" w:rsidRDefault="00F6459D" w:rsidP="00F6459D">
      <w:pPr>
        <w:pStyle w:val="Default"/>
        <w:jc w:val="both"/>
        <w:rPr>
          <w:rFonts w:ascii="gobCL" w:hAnsi="gobCL"/>
          <w:sz w:val="22"/>
          <w:szCs w:val="22"/>
        </w:rPr>
      </w:pPr>
    </w:p>
    <w:p w:rsidR="00F6459D" w:rsidRPr="00FF7094" w:rsidRDefault="00F6459D" w:rsidP="00F6459D">
      <w:pPr>
        <w:jc w:val="both"/>
        <w:rPr>
          <w:rFonts w:cs="Arial"/>
          <w:b/>
          <w:bCs/>
          <w:szCs w:val="22"/>
          <w:lang w:val="es-ES_tradnl"/>
        </w:rPr>
      </w:pPr>
      <w:r w:rsidRPr="00FF7094">
        <w:rPr>
          <w:rFonts w:cs="Arial"/>
          <w:b/>
          <w:bCs/>
          <w:szCs w:val="22"/>
          <w:u w:val="single"/>
          <w:lang w:val="es-ES_tradnl"/>
        </w:rPr>
        <w:t>DEBE DECIR</w:t>
      </w:r>
      <w:r w:rsidRPr="00FF7094">
        <w:rPr>
          <w:rFonts w:cs="Arial"/>
          <w:b/>
          <w:bCs/>
          <w:szCs w:val="22"/>
          <w:lang w:val="es-ES_tradnl"/>
        </w:rPr>
        <w:t>:</w:t>
      </w:r>
    </w:p>
    <w:p w:rsidR="00F6459D" w:rsidRPr="00FF7094" w:rsidRDefault="00F6459D" w:rsidP="00F6459D">
      <w:pPr>
        <w:jc w:val="both"/>
        <w:rPr>
          <w:rFonts w:cs="Arial"/>
          <w:bCs/>
          <w:szCs w:val="22"/>
          <w:lang w:val="es-ES_tradnl"/>
        </w:rPr>
      </w:pPr>
    </w:p>
    <w:p w:rsidR="00F6459D" w:rsidRPr="00FF7094" w:rsidRDefault="00F6459D" w:rsidP="00F6459D">
      <w:pPr>
        <w:jc w:val="both"/>
        <w:rPr>
          <w:rFonts w:cs="Arial"/>
          <w:b/>
          <w:bCs/>
          <w:szCs w:val="22"/>
          <w:lang w:val="es-ES_tradnl"/>
        </w:rPr>
      </w:pPr>
      <w:r w:rsidRPr="00FF7094">
        <w:rPr>
          <w:rFonts w:cs="Arial"/>
          <w:b/>
          <w:bCs/>
          <w:szCs w:val="22"/>
          <w:lang w:val="es-ES_tradnl"/>
        </w:rPr>
        <w:t xml:space="preserve">f) </w:t>
      </w:r>
      <w:r w:rsidRPr="00FF7094">
        <w:rPr>
          <w:rFonts w:cs="Arial"/>
          <w:b/>
          <w:bCs/>
          <w:szCs w:val="22"/>
          <w:u w:val="single"/>
          <w:lang w:val="es-ES_tradnl"/>
        </w:rPr>
        <w:t>Carpeta Tributaria</w:t>
      </w:r>
    </w:p>
    <w:p w:rsidR="00F6459D" w:rsidRPr="00FF7094" w:rsidRDefault="00F6459D" w:rsidP="00F6459D">
      <w:pPr>
        <w:spacing w:before="240" w:after="240"/>
        <w:jc w:val="both"/>
        <w:rPr>
          <w:rFonts w:eastAsia="gobCL" w:cs="gobCL"/>
          <w:color w:val="000000"/>
          <w:szCs w:val="22"/>
        </w:rPr>
      </w:pPr>
      <w:r w:rsidRPr="00FF7094">
        <w:rPr>
          <w:rFonts w:eastAsia="gobCL" w:cs="gobCL"/>
          <w:szCs w:val="22"/>
        </w:rPr>
        <w:t>Cada empresa postulante deberá adjuntar su</w:t>
      </w:r>
      <w:r w:rsidRPr="00FF7094">
        <w:rPr>
          <w:rFonts w:eastAsia="gobCL" w:cs="gobCL"/>
          <w:b/>
          <w:color w:val="000000"/>
          <w:szCs w:val="22"/>
        </w:rPr>
        <w:t xml:space="preserve"> Carpeta Tributaria Electrónica Personalizada  de 36 meses</w:t>
      </w:r>
      <w:r w:rsidRPr="00FF7094">
        <w:rPr>
          <w:rFonts w:eastAsia="gobCL" w:cs="gobCL"/>
          <w:color w:val="000000"/>
          <w:szCs w:val="22"/>
        </w:rPr>
        <w:t xml:space="preserve">, disponible en </w:t>
      </w:r>
      <w:hyperlink r:id="rId9">
        <w:r w:rsidRPr="00FF7094">
          <w:rPr>
            <w:rFonts w:eastAsia="gobCL" w:cs="Arial"/>
            <w:color w:val="0563C1"/>
            <w:szCs w:val="22"/>
            <w:u w:val="single"/>
            <w:shd w:val="clear" w:color="auto" w:fill="FFFFFF"/>
          </w:rPr>
          <w:t>www</w:t>
        </w:r>
        <w:r w:rsidRPr="00FF7094">
          <w:rPr>
            <w:rFonts w:eastAsia="gobCL" w:cs="gobCL"/>
            <w:color w:val="0563C1"/>
            <w:szCs w:val="22"/>
            <w:u w:val="single"/>
          </w:rPr>
          <w:t>.sii.cl</w:t>
        </w:r>
      </w:hyperlink>
      <w:r w:rsidR="00C31C55">
        <w:rPr>
          <w:rFonts w:eastAsia="gobCL" w:cs="gobCL"/>
          <w:color w:val="000000"/>
          <w:szCs w:val="22"/>
        </w:rPr>
        <w:t xml:space="preserve"> (u otra que deberá ser validada por </w:t>
      </w:r>
      <w:proofErr w:type="spellStart"/>
      <w:r w:rsidR="00C31C55">
        <w:rPr>
          <w:rFonts w:eastAsia="gobCL" w:cs="gobCL"/>
          <w:color w:val="000000"/>
          <w:szCs w:val="22"/>
        </w:rPr>
        <w:t>Sercotec</w:t>
      </w:r>
      <w:proofErr w:type="spellEnd"/>
      <w:r w:rsidR="00C31C55">
        <w:rPr>
          <w:rFonts w:eastAsia="gobCL" w:cs="gobCL"/>
          <w:color w:val="000000"/>
          <w:szCs w:val="22"/>
        </w:rPr>
        <w:t>).</w:t>
      </w:r>
      <w:r w:rsidRPr="00FF7094">
        <w:rPr>
          <w:rFonts w:eastAsia="gobCL" w:cs="gobCL"/>
          <w:color w:val="000000"/>
          <w:szCs w:val="22"/>
        </w:rPr>
        <w:t xml:space="preserve"> </w:t>
      </w:r>
    </w:p>
    <w:p w:rsidR="00F6459D" w:rsidRDefault="00F6459D" w:rsidP="00F645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202124"/>
          <w:szCs w:val="22"/>
          <w:shd w:val="clear" w:color="auto" w:fill="FFFFFF"/>
        </w:rPr>
      </w:pP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rFonts w:cs="Arial"/>
          <w:color w:val="222222"/>
          <w:szCs w:val="22"/>
          <w:shd w:val="clear" w:color="auto" w:fill="FFFFFF"/>
        </w:rPr>
        <w:t xml:space="preserve"> Ingresar a MI SII </w:t>
      </w: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rFonts w:cs="Arial"/>
          <w:color w:val="222222"/>
          <w:szCs w:val="22"/>
          <w:shd w:val="clear" w:color="auto" w:fill="FFFFFF"/>
        </w:rPr>
        <w:t> Seleccionar “Servicios Online” </w:t>
      </w: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rFonts w:cs="Arial"/>
          <w:color w:val="222222"/>
          <w:szCs w:val="22"/>
          <w:shd w:val="clear" w:color="auto" w:fill="FFFFFF"/>
        </w:rPr>
        <w:t xml:space="preserve"> Seleccionar “Situación Tributaria” </w:t>
      </w: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rFonts w:cs="Arial"/>
          <w:color w:val="222222"/>
          <w:szCs w:val="22"/>
          <w:shd w:val="clear" w:color="auto" w:fill="FFFFFF"/>
        </w:rPr>
        <w:t> Seleccionar “Carpeta Tributaria Electrónica” </w:t>
      </w: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rFonts w:cs="Arial"/>
          <w:color w:val="222222"/>
          <w:szCs w:val="22"/>
          <w:shd w:val="clear" w:color="auto" w:fill="FFFFFF"/>
        </w:rPr>
        <w:t xml:space="preserve"> Seleccionar “Carpeta Tributaria Regular” </w:t>
      </w: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color w:val="222222"/>
          <w:szCs w:val="22"/>
          <w:shd w:val="clear" w:color="auto" w:fill="FFFFFF"/>
        </w:rPr>
        <w:t xml:space="preserve"> </w:t>
      </w:r>
      <w:hyperlink r:id="rId10" w:anchor="collapseTwo">
        <w:r w:rsidRPr="00FF7094">
          <w:rPr>
            <w:rFonts w:cs="Arial"/>
            <w:color w:val="222222"/>
            <w:szCs w:val="22"/>
            <w:shd w:val="clear" w:color="auto" w:fill="FFFFFF"/>
          </w:rPr>
          <w:t>Seleccionar “</w:t>
        </w:r>
      </w:hyperlink>
      <w:r w:rsidRPr="00FF7094">
        <w:rPr>
          <w:rFonts w:cs="Arial"/>
          <w:color w:val="222222"/>
          <w:szCs w:val="22"/>
          <w:shd w:val="clear" w:color="auto" w:fill="FFFFFF"/>
        </w:rPr>
        <w:t>Generar Carpeta: Personalizar su Carpeta”</w:t>
      </w:r>
      <w:r w:rsidRPr="00FF7094">
        <w:rPr>
          <w:color w:val="222222"/>
          <w:szCs w:val="22"/>
          <w:shd w:val="clear" w:color="auto" w:fill="FFFFFF"/>
        </w:rPr>
        <w:t xml:space="preserve"> </w:t>
      </w:r>
      <w:r w:rsidRPr="00FF7094">
        <w:rPr>
          <w:rFonts w:ascii="Wingdings" w:hAnsi="Wingdings"/>
          <w:color w:val="222222"/>
          <w:szCs w:val="22"/>
          <w:shd w:val="clear" w:color="auto" w:fill="FFFFFF"/>
        </w:rPr>
        <w:t></w:t>
      </w:r>
      <w:r w:rsidRPr="00FF7094">
        <w:rPr>
          <w:rFonts w:cs="Arial"/>
          <w:color w:val="222222"/>
          <w:szCs w:val="22"/>
          <w:shd w:val="clear" w:color="auto" w:fill="FFFFFF"/>
        </w:rPr>
        <w:t xml:space="preserve"> Seleccionar los siguientes casilleros: </w:t>
      </w:r>
      <w:r w:rsidRPr="00FF7094">
        <w:rPr>
          <w:rFonts w:cs="Arial"/>
          <w:b/>
          <w:color w:val="222222"/>
          <w:szCs w:val="22"/>
          <w:shd w:val="clear" w:color="auto" w:fill="FFFFFF"/>
        </w:rPr>
        <w:t xml:space="preserve">36 meses, </w:t>
      </w:r>
      <w:r w:rsidRPr="00FF7094">
        <w:rPr>
          <w:rStyle w:val="textof"/>
          <w:b/>
          <w:szCs w:val="22"/>
        </w:rPr>
        <w:t>Representante Legal, Conformación de la sociedad, Participación en sociedades, Sucursales</w:t>
      </w:r>
      <w:r w:rsidRPr="00FF7094">
        <w:rPr>
          <w:rFonts w:cs="Arial"/>
          <w:color w:val="222222"/>
          <w:szCs w:val="22"/>
          <w:shd w:val="clear" w:color="auto" w:fill="FFFFFF"/>
        </w:rPr>
        <w:t>.</w:t>
      </w:r>
      <w:r w:rsidRPr="00FF7094">
        <w:rPr>
          <w:rFonts w:cs="Arial"/>
          <w:color w:val="202124"/>
          <w:szCs w:val="22"/>
          <w:shd w:val="clear" w:color="auto" w:fill="FFFFFF"/>
        </w:rPr>
        <w:t xml:space="preserve"> </w:t>
      </w:r>
    </w:p>
    <w:p w:rsidR="00F6459D" w:rsidRDefault="00F6459D" w:rsidP="00F645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202124"/>
          <w:szCs w:val="22"/>
          <w:shd w:val="clear" w:color="auto" w:fill="FFFFFF"/>
        </w:rPr>
      </w:pPr>
    </w:p>
    <w:p w:rsidR="00F6459D" w:rsidRDefault="00F6459D" w:rsidP="00F6459D">
      <w:pPr>
        <w:jc w:val="both"/>
        <w:rPr>
          <w:rFonts w:eastAsia="Arial Unicode MS" w:cs="Arial"/>
          <w:szCs w:val="22"/>
          <w:lang w:val="es-CL"/>
        </w:rPr>
      </w:pPr>
      <w:r w:rsidRPr="00017271">
        <w:rPr>
          <w:rFonts w:eastAsia="Arial Unicode MS" w:cs="Arial"/>
          <w:szCs w:val="22"/>
          <w:lang w:val="es-CL"/>
        </w:rPr>
        <w:lastRenderedPageBreak/>
        <w:t xml:space="preserve">Se deberá poner especial atención en que el documento contenga todos los formularios 29 de los períodos requeridos para efectos del cálculo del nivel </w:t>
      </w:r>
      <w:r>
        <w:rPr>
          <w:rFonts w:eastAsia="Arial Unicode MS" w:cs="Arial"/>
          <w:szCs w:val="22"/>
          <w:lang w:val="es-CL"/>
        </w:rPr>
        <w:t xml:space="preserve">y disminución </w:t>
      </w:r>
      <w:r w:rsidRPr="00017271">
        <w:rPr>
          <w:rFonts w:eastAsia="Arial Unicode MS" w:cs="Arial"/>
          <w:szCs w:val="22"/>
          <w:lang w:val="es-CL"/>
        </w:rPr>
        <w:t xml:space="preserve">de ventas. Este documento es obligatorio para todas las empresas postulantes. </w:t>
      </w:r>
    </w:p>
    <w:p w:rsidR="00F6459D" w:rsidRDefault="00F6459D" w:rsidP="00F645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202124"/>
          <w:szCs w:val="22"/>
          <w:shd w:val="clear" w:color="auto" w:fill="FFFFFF"/>
        </w:rPr>
      </w:pPr>
    </w:p>
    <w:p w:rsidR="00F6459D" w:rsidRPr="00FF7094" w:rsidRDefault="00F6459D" w:rsidP="00F645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202124"/>
          <w:szCs w:val="22"/>
          <w:shd w:val="clear" w:color="auto" w:fill="FFFFFF"/>
        </w:rPr>
      </w:pPr>
      <w:proofErr w:type="spellStart"/>
      <w:r>
        <w:rPr>
          <w:rFonts w:cs="Arial"/>
          <w:color w:val="202124"/>
          <w:szCs w:val="22"/>
          <w:shd w:val="clear" w:color="auto" w:fill="FFFFFF"/>
        </w:rPr>
        <w:t>Sercotec</w:t>
      </w:r>
      <w:proofErr w:type="spellEnd"/>
      <w:r>
        <w:rPr>
          <w:rFonts w:cs="Arial"/>
          <w:color w:val="202124"/>
          <w:szCs w:val="22"/>
          <w:shd w:val="clear" w:color="auto" w:fill="FFFFFF"/>
        </w:rPr>
        <w:t xml:space="preserve"> podrá requerir durante el período de evaluación, los Formularios 29 faltantes para evaluar </w:t>
      </w:r>
      <w:r w:rsidR="007C392C">
        <w:rPr>
          <w:rFonts w:cs="Arial"/>
          <w:color w:val="202124"/>
          <w:szCs w:val="22"/>
          <w:shd w:val="clear" w:color="auto" w:fill="FFFFFF"/>
        </w:rPr>
        <w:t xml:space="preserve">lo </w:t>
      </w:r>
      <w:bookmarkStart w:id="0" w:name="_GoBack"/>
      <w:bookmarkEnd w:id="0"/>
      <w:r>
        <w:rPr>
          <w:rFonts w:cs="Arial"/>
          <w:color w:val="202124"/>
          <w:szCs w:val="22"/>
          <w:shd w:val="clear" w:color="auto" w:fill="FFFFFF"/>
        </w:rPr>
        <w:t>establecido en las Bases de Convocatoria.</w:t>
      </w:r>
    </w:p>
    <w:p w:rsidR="00F6459D" w:rsidRPr="00FF7094" w:rsidRDefault="00F6459D" w:rsidP="00F6459D">
      <w:pPr>
        <w:pStyle w:val="Default"/>
        <w:jc w:val="both"/>
        <w:rPr>
          <w:rFonts w:ascii="gobCL" w:hAnsi="gobCL"/>
          <w:sz w:val="22"/>
          <w:szCs w:val="22"/>
        </w:rPr>
      </w:pPr>
    </w:p>
    <w:p w:rsidR="00F6459D" w:rsidRPr="00FF7094" w:rsidRDefault="00F6459D" w:rsidP="00F6459D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FF7094">
        <w:rPr>
          <w:rFonts w:ascii="gobCL" w:hAnsi="gobCL"/>
          <w:b/>
          <w:sz w:val="22"/>
          <w:szCs w:val="22"/>
          <w:u w:val="single"/>
        </w:rPr>
        <w:t>En todo aquello no modificado, rigen íntegramente las disposiciones de Bases de Postulación que por el presente acto se modifican.</w:t>
      </w:r>
    </w:p>
    <w:p w:rsidR="00F6459D" w:rsidRPr="00FF7094" w:rsidRDefault="00F6459D" w:rsidP="00F6459D">
      <w:pPr>
        <w:jc w:val="both"/>
        <w:rPr>
          <w:rFonts w:cs="Arial"/>
          <w:b/>
          <w:bCs/>
          <w:szCs w:val="22"/>
          <w:u w:val="single"/>
          <w:lang w:val="es-ES_tradnl"/>
        </w:rPr>
      </w:pP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1A4DA6"/>
    <w:rsid w:val="00242559"/>
    <w:rsid w:val="00244525"/>
    <w:rsid w:val="0029234D"/>
    <w:rsid w:val="00296592"/>
    <w:rsid w:val="003A7CD0"/>
    <w:rsid w:val="003F7E2B"/>
    <w:rsid w:val="004D2A02"/>
    <w:rsid w:val="006D4E30"/>
    <w:rsid w:val="007909C0"/>
    <w:rsid w:val="007C392C"/>
    <w:rsid w:val="007D3986"/>
    <w:rsid w:val="00910871"/>
    <w:rsid w:val="00A47F38"/>
    <w:rsid w:val="00C31C55"/>
    <w:rsid w:val="00F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AD5E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customStyle="1" w:styleId="Default">
    <w:name w:val="Default"/>
    <w:rsid w:val="00F645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of">
    <w:name w:val="textof"/>
    <w:basedOn w:val="Fuentedeprrafopredeter"/>
    <w:rsid w:val="00F6459D"/>
  </w:style>
  <w:style w:type="character" w:styleId="Hipervnculo">
    <w:name w:val="Hyperlink"/>
    <w:uiPriority w:val="99"/>
    <w:rsid w:val="00F6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servicios_online/1047-17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ii.cl/servicios_online/1047-17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9</cp:revision>
  <cp:lastPrinted>2022-06-16T19:46:00Z</cp:lastPrinted>
  <dcterms:created xsi:type="dcterms:W3CDTF">2022-06-16T19:46:00Z</dcterms:created>
  <dcterms:modified xsi:type="dcterms:W3CDTF">2022-06-16T20:15:00Z</dcterms:modified>
</cp:coreProperties>
</file>