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753387BF"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245CBE">
        <w:rPr>
          <w:rFonts w:eastAsia="Arial Unicode MS" w:cs="Arial"/>
          <w:b/>
          <w:bCs/>
          <w:color w:val="000000" w:themeColor="text1"/>
          <w:sz w:val="40"/>
          <w:szCs w:val="40"/>
        </w:rPr>
        <w:t xml:space="preserve">REGIONAL </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616EC957"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DE AYSÉN</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9B9D0FF"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705383">
              <w:rPr>
                <w:webHidden/>
              </w:rPr>
              <w:t>3</w:t>
            </w:r>
            <w:r w:rsidR="00137ECD">
              <w:rPr>
                <w:webHidden/>
              </w:rPr>
              <w:fldChar w:fldCharType="end"/>
            </w:r>
          </w:hyperlink>
        </w:p>
        <w:p w14:paraId="55CAEF35" w14:textId="3490731D" w:rsidR="00137ECD" w:rsidRDefault="00B25259">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705383">
              <w:rPr>
                <w:webHidden/>
              </w:rPr>
              <w:t>3</w:t>
            </w:r>
            <w:r w:rsidR="00137ECD">
              <w:rPr>
                <w:webHidden/>
              </w:rPr>
              <w:fldChar w:fldCharType="end"/>
            </w:r>
          </w:hyperlink>
        </w:p>
        <w:p w14:paraId="65479E64" w14:textId="359623DC" w:rsidR="00137ECD" w:rsidRDefault="00B25259">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705383">
              <w:rPr>
                <w:webHidden/>
              </w:rPr>
              <w:t>3</w:t>
            </w:r>
            <w:r w:rsidR="00137ECD">
              <w:rPr>
                <w:webHidden/>
              </w:rPr>
              <w:fldChar w:fldCharType="end"/>
            </w:r>
          </w:hyperlink>
        </w:p>
        <w:p w14:paraId="07944FE1" w14:textId="4B4EE366" w:rsidR="00137ECD" w:rsidRDefault="00B25259">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705383">
              <w:rPr>
                <w:webHidden/>
              </w:rPr>
              <w:t>4</w:t>
            </w:r>
            <w:r w:rsidR="00137ECD">
              <w:rPr>
                <w:webHidden/>
              </w:rPr>
              <w:fldChar w:fldCharType="end"/>
            </w:r>
          </w:hyperlink>
        </w:p>
        <w:p w14:paraId="5FC90D47" w14:textId="5AA4D2C3" w:rsidR="00137ECD" w:rsidRDefault="00B25259">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705383">
              <w:rPr>
                <w:webHidden/>
              </w:rPr>
              <w:t>4</w:t>
            </w:r>
            <w:r w:rsidR="00137ECD">
              <w:rPr>
                <w:webHidden/>
              </w:rPr>
              <w:fldChar w:fldCharType="end"/>
            </w:r>
          </w:hyperlink>
        </w:p>
        <w:p w14:paraId="3F0F52E1" w14:textId="4276FAE6" w:rsidR="00137ECD" w:rsidRDefault="00B25259">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705383">
              <w:rPr>
                <w:webHidden/>
              </w:rPr>
              <w:t>4</w:t>
            </w:r>
            <w:r w:rsidR="00137ECD">
              <w:rPr>
                <w:webHidden/>
              </w:rPr>
              <w:fldChar w:fldCharType="end"/>
            </w:r>
          </w:hyperlink>
        </w:p>
        <w:p w14:paraId="49EB65C4" w14:textId="0BBC4BDC" w:rsidR="00137ECD" w:rsidRDefault="00B25259">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705383">
              <w:rPr>
                <w:webHidden/>
              </w:rPr>
              <w:t>8</w:t>
            </w:r>
            <w:r w:rsidR="00137ECD">
              <w:rPr>
                <w:webHidden/>
              </w:rPr>
              <w:fldChar w:fldCharType="end"/>
            </w:r>
          </w:hyperlink>
        </w:p>
        <w:p w14:paraId="66ABFCD9" w14:textId="70BB6331" w:rsidR="00137ECD" w:rsidRDefault="00B25259">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705383">
              <w:rPr>
                <w:webHidden/>
              </w:rPr>
              <w:t>9</w:t>
            </w:r>
            <w:r w:rsidR="00137ECD">
              <w:rPr>
                <w:webHidden/>
              </w:rPr>
              <w:fldChar w:fldCharType="end"/>
            </w:r>
          </w:hyperlink>
        </w:p>
        <w:p w14:paraId="6F0FF934" w14:textId="2B09D588" w:rsidR="00137ECD" w:rsidRDefault="00B25259">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705383">
              <w:rPr>
                <w:webHidden/>
              </w:rPr>
              <w:t>10</w:t>
            </w:r>
            <w:r w:rsidR="00137ECD">
              <w:rPr>
                <w:webHidden/>
              </w:rPr>
              <w:fldChar w:fldCharType="end"/>
            </w:r>
          </w:hyperlink>
        </w:p>
        <w:p w14:paraId="52D84111" w14:textId="59773600" w:rsidR="00137ECD" w:rsidRDefault="00B25259">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705383">
              <w:rPr>
                <w:webHidden/>
              </w:rPr>
              <w:t>10</w:t>
            </w:r>
            <w:r w:rsidR="00137ECD">
              <w:rPr>
                <w:webHidden/>
              </w:rPr>
              <w:fldChar w:fldCharType="end"/>
            </w:r>
          </w:hyperlink>
        </w:p>
        <w:p w14:paraId="4D4508B5" w14:textId="66D7F2FC" w:rsidR="00137ECD" w:rsidRDefault="00B25259">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705383">
              <w:rPr>
                <w:webHidden/>
              </w:rPr>
              <w:t>11</w:t>
            </w:r>
            <w:r w:rsidR="00137ECD">
              <w:rPr>
                <w:webHidden/>
              </w:rPr>
              <w:fldChar w:fldCharType="end"/>
            </w:r>
          </w:hyperlink>
        </w:p>
        <w:p w14:paraId="6C6BF84B" w14:textId="3EA428DD" w:rsidR="00137ECD" w:rsidRDefault="00B25259">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705383">
              <w:rPr>
                <w:webHidden/>
              </w:rPr>
              <w:t>14</w:t>
            </w:r>
            <w:r w:rsidR="00137ECD">
              <w:rPr>
                <w:webHidden/>
              </w:rPr>
              <w:fldChar w:fldCharType="end"/>
            </w:r>
          </w:hyperlink>
        </w:p>
        <w:p w14:paraId="05214EB5" w14:textId="07AC6A08" w:rsidR="00137ECD" w:rsidRDefault="00B25259">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705383">
              <w:rPr>
                <w:webHidden/>
              </w:rPr>
              <w:t>14</w:t>
            </w:r>
            <w:r w:rsidR="00137ECD">
              <w:rPr>
                <w:webHidden/>
              </w:rPr>
              <w:fldChar w:fldCharType="end"/>
            </w:r>
          </w:hyperlink>
        </w:p>
        <w:p w14:paraId="69D53A29" w14:textId="65D36A6F" w:rsidR="00137ECD" w:rsidRDefault="00B25259">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705383">
              <w:rPr>
                <w:webHidden/>
              </w:rPr>
              <w:t>14</w:t>
            </w:r>
            <w:r w:rsidR="00137ECD">
              <w:rPr>
                <w:webHidden/>
              </w:rPr>
              <w:fldChar w:fldCharType="end"/>
            </w:r>
          </w:hyperlink>
        </w:p>
        <w:p w14:paraId="342530E1" w14:textId="78F1E38F" w:rsidR="00137ECD" w:rsidRDefault="00B25259">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705383">
              <w:rPr>
                <w:webHidden/>
              </w:rPr>
              <w:t>15</w:t>
            </w:r>
            <w:r w:rsidR="00137ECD">
              <w:rPr>
                <w:webHidden/>
              </w:rPr>
              <w:fldChar w:fldCharType="end"/>
            </w:r>
          </w:hyperlink>
        </w:p>
        <w:p w14:paraId="11D0F67E" w14:textId="76B085D9" w:rsidR="00137ECD" w:rsidRDefault="00B25259">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705383">
              <w:rPr>
                <w:webHidden/>
              </w:rPr>
              <w:t>15</w:t>
            </w:r>
            <w:r w:rsidR="00137ECD">
              <w:rPr>
                <w:webHidden/>
              </w:rPr>
              <w:fldChar w:fldCharType="end"/>
            </w:r>
          </w:hyperlink>
        </w:p>
        <w:p w14:paraId="188CEF95" w14:textId="792D73E0" w:rsidR="00137ECD" w:rsidRDefault="00B25259">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705383">
              <w:rPr>
                <w:webHidden/>
              </w:rPr>
              <w:t>16</w:t>
            </w:r>
            <w:r w:rsidR="00137ECD">
              <w:rPr>
                <w:webHidden/>
              </w:rPr>
              <w:fldChar w:fldCharType="end"/>
            </w:r>
          </w:hyperlink>
        </w:p>
        <w:p w14:paraId="71CFD642" w14:textId="65496A94" w:rsidR="00137ECD" w:rsidRDefault="00B25259">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705383">
              <w:rPr>
                <w:webHidden/>
              </w:rPr>
              <w:t>16</w:t>
            </w:r>
            <w:r w:rsidR="00137ECD">
              <w:rPr>
                <w:webHidden/>
              </w:rPr>
              <w:fldChar w:fldCharType="end"/>
            </w:r>
          </w:hyperlink>
        </w:p>
        <w:p w14:paraId="4D5B857B" w14:textId="7C4354A8" w:rsidR="00137ECD" w:rsidRDefault="00B25259">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705383">
              <w:rPr>
                <w:webHidden/>
              </w:rPr>
              <w:t>17</w:t>
            </w:r>
            <w:r w:rsidR="00137ECD">
              <w:rPr>
                <w:webHidden/>
              </w:rPr>
              <w:fldChar w:fldCharType="end"/>
            </w:r>
          </w:hyperlink>
        </w:p>
        <w:p w14:paraId="4B1CA1EA" w14:textId="116CA009" w:rsidR="00137ECD" w:rsidRDefault="00B25259">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705383">
              <w:rPr>
                <w:webHidden/>
              </w:rPr>
              <w:t>19</w:t>
            </w:r>
            <w:r w:rsidR="00137ECD">
              <w:rPr>
                <w:webHidden/>
              </w:rPr>
              <w:fldChar w:fldCharType="end"/>
            </w:r>
          </w:hyperlink>
        </w:p>
        <w:p w14:paraId="247C6CDE" w14:textId="48806A03" w:rsidR="00137ECD" w:rsidRDefault="00B25259">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705383">
              <w:rPr>
                <w:webHidden/>
              </w:rPr>
              <w:t>21</w:t>
            </w:r>
            <w:r w:rsidR="00137ECD">
              <w:rPr>
                <w:webHidden/>
              </w:rPr>
              <w:fldChar w:fldCharType="end"/>
            </w:r>
          </w:hyperlink>
        </w:p>
        <w:p w14:paraId="546958D7" w14:textId="38AD3A48" w:rsidR="00137ECD" w:rsidRDefault="00B25259">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705383">
              <w:rPr>
                <w:webHidden/>
              </w:rPr>
              <w:t>21</w:t>
            </w:r>
            <w:r w:rsidR="00137ECD">
              <w:rPr>
                <w:webHidden/>
              </w:rPr>
              <w:fldChar w:fldCharType="end"/>
            </w:r>
          </w:hyperlink>
        </w:p>
        <w:p w14:paraId="688201ED" w14:textId="1D6884F1" w:rsidR="00137ECD" w:rsidRDefault="00B25259">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705383">
              <w:rPr>
                <w:webHidden/>
              </w:rPr>
              <w:t>22</w:t>
            </w:r>
            <w:r w:rsidR="00137ECD">
              <w:rPr>
                <w:webHidden/>
              </w:rPr>
              <w:fldChar w:fldCharType="end"/>
            </w:r>
          </w:hyperlink>
        </w:p>
        <w:p w14:paraId="5E90C86C" w14:textId="78842181" w:rsidR="00137ECD" w:rsidRDefault="00B25259">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705383">
              <w:rPr>
                <w:webHidden/>
              </w:rPr>
              <w:t>24</w:t>
            </w:r>
            <w:r w:rsidR="00137ECD">
              <w:rPr>
                <w:webHidden/>
              </w:rPr>
              <w:fldChar w:fldCharType="end"/>
            </w:r>
          </w:hyperlink>
        </w:p>
        <w:p w14:paraId="7365C394" w14:textId="0B3CC24F" w:rsidR="00137ECD" w:rsidRDefault="00B25259">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705383">
              <w:rPr>
                <w:webHidden/>
              </w:rPr>
              <w:t>27</w:t>
            </w:r>
            <w:r w:rsidR="00137ECD">
              <w:rPr>
                <w:webHidden/>
              </w:rPr>
              <w:fldChar w:fldCharType="end"/>
            </w:r>
          </w:hyperlink>
        </w:p>
        <w:p w14:paraId="6684C6DC" w14:textId="03E3AC1E" w:rsidR="00137ECD" w:rsidRDefault="00B25259"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705383">
              <w:rPr>
                <w:webHidden/>
              </w:rPr>
              <w:t>29</w:t>
            </w:r>
            <w:r w:rsidR="00137ECD">
              <w:rPr>
                <w:webHidden/>
              </w:rPr>
              <w:fldChar w:fldCharType="end"/>
            </w:r>
          </w:hyperlink>
        </w:p>
        <w:p w14:paraId="0ECDCAEE" w14:textId="76CC1BCD" w:rsidR="00137ECD" w:rsidRDefault="00B25259">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705383">
              <w:rPr>
                <w:webHidden/>
              </w:rPr>
              <w:t>33</w:t>
            </w:r>
            <w:r w:rsidR="00137ECD">
              <w:rPr>
                <w:webHidden/>
              </w:rPr>
              <w:fldChar w:fldCharType="end"/>
            </w:r>
          </w:hyperlink>
        </w:p>
        <w:p w14:paraId="07EEBA3F" w14:textId="110D5AAB" w:rsidR="00137ECD" w:rsidRDefault="00B25259">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705383">
              <w:rPr>
                <w:webHidden/>
              </w:rPr>
              <w:t>41</w:t>
            </w:r>
            <w:r w:rsidR="00137ECD">
              <w:rPr>
                <w:webHidden/>
              </w:rPr>
              <w:fldChar w:fldCharType="end"/>
            </w:r>
          </w:hyperlink>
        </w:p>
        <w:p w14:paraId="7BF2ABF3" w14:textId="0F52191C" w:rsidR="00137ECD" w:rsidRPr="00137ECD" w:rsidRDefault="00B25259"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705383">
              <w:rPr>
                <w:webHidden/>
              </w:rPr>
              <w:t>42</w:t>
            </w:r>
            <w:r w:rsidR="00137ECD">
              <w:rPr>
                <w:webHidden/>
              </w:rPr>
              <w:fldChar w:fldCharType="end"/>
            </w:r>
          </w:hyperlink>
        </w:p>
        <w:p w14:paraId="27BB818A" w14:textId="3BCFF3E2" w:rsidR="00137ECD" w:rsidRDefault="00B25259">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705383">
              <w:rPr>
                <w:webHidden/>
              </w:rPr>
              <w:t>44</w:t>
            </w:r>
            <w:r w:rsidR="00137ECD">
              <w:rPr>
                <w:webHidden/>
              </w:rPr>
              <w:fldChar w:fldCharType="end"/>
            </w:r>
          </w:hyperlink>
        </w:p>
        <w:p w14:paraId="5F655323" w14:textId="352847E7" w:rsidR="00137ECD" w:rsidRDefault="00B25259">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705383">
              <w:rPr>
                <w:webHidden/>
              </w:rPr>
              <w:t>50</w:t>
            </w:r>
            <w:r w:rsidR="00137ECD">
              <w:rPr>
                <w:webHidden/>
              </w:rPr>
              <w:fldChar w:fldCharType="end"/>
            </w:r>
          </w:hyperlink>
        </w:p>
        <w:p w14:paraId="4D3354E8" w14:textId="78ACC330" w:rsidR="00137ECD" w:rsidRDefault="00B25259">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705383">
              <w:rPr>
                <w:webHidden/>
              </w:rPr>
              <w:t>51</w:t>
            </w:r>
            <w:r w:rsidR="00137ECD">
              <w:rPr>
                <w:webHidden/>
              </w:rPr>
              <w:fldChar w:fldCharType="end"/>
            </w:r>
          </w:hyperlink>
        </w:p>
        <w:p w14:paraId="51454E0B" w14:textId="7886178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……………………………………………………………….5</w:t>
          </w:r>
          <w:r w:rsidR="00B8656F">
            <w:rPr>
              <w:rFonts w:asciiTheme="minorHAnsi" w:hAnsiTheme="minorHAnsi" w:cstheme="minorHAnsi"/>
              <w:b/>
              <w:bCs/>
              <w:iCs/>
              <w:sz w:val="19"/>
              <w:szCs w:val="19"/>
              <w:lang w:val="es-CL"/>
            </w:rPr>
            <w:t>3</w:t>
          </w:r>
          <w:bookmarkStart w:id="0" w:name="_GoBack"/>
          <w:bookmarkEnd w:id="0"/>
        </w:p>
        <w:p w14:paraId="39AFF723" w14:textId="484D9B72" w:rsidR="007D3BB3" w:rsidRPr="00B93A85" w:rsidRDefault="00B25259">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10376832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10376832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1" w:name="_Toc413772557"/>
      <w:bookmarkStart w:id="22" w:name="_Toc10376832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01D241F0" w14:textId="66EED269"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de la Región de </w:t>
      </w:r>
      <w:r w:rsidR="00A31C1B">
        <w:rPr>
          <w:rFonts w:eastAsia="Arial Unicode MS" w:cs="Arial"/>
          <w:color w:val="000000" w:themeColor="text1"/>
          <w:szCs w:val="22"/>
          <w:lang w:val="es-CL"/>
        </w:rPr>
        <w:t>Aysén</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70091246"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A31C1B">
        <w:rPr>
          <w:rFonts w:eastAsia="Arial Unicode MS" w:cs="Arial"/>
          <w:color w:val="000000"/>
          <w:szCs w:val="22"/>
          <w:lang w:val="es-CL"/>
        </w:rPr>
        <w:t>Aysén</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72A065F5"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A31C1B">
        <w:rPr>
          <w:rFonts w:eastAsia="Arial Unicode MS" w:cs="Arial"/>
          <w:color w:val="000000"/>
          <w:szCs w:val="22"/>
        </w:rPr>
        <w:t>Aysén</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23B0C5D9"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A31C1B">
        <w:rPr>
          <w:rFonts w:eastAsia="Arial Unicode MS" w:cs="Arial"/>
          <w:color w:val="000000"/>
          <w:szCs w:val="22"/>
        </w:rPr>
        <w:t>Aysén</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lastRenderedPageBreak/>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6E444C22" w:rsidR="007C7B54" w:rsidRPr="00C842D4" w:rsidRDefault="007C7B54" w:rsidP="00A31C1B">
      <w:pPr>
        <w:jc w:val="both"/>
        <w:rPr>
          <w:rFonts w:eastAsia="Arial Unicode MS" w:cs="Arial"/>
          <w:sz w:val="20"/>
          <w:szCs w:val="20"/>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w:t>
      </w:r>
      <w:r w:rsidR="00A10CE8">
        <w:rPr>
          <w:color w:val="000000"/>
          <w:szCs w:val="22"/>
          <w:bdr w:val="none" w:sz="0" w:space="0" w:color="auto" w:frame="1"/>
        </w:rPr>
        <w:t>ocatoria, el Agente asignado es</w:t>
      </w:r>
      <w:r w:rsidR="00A31C1B" w:rsidRPr="00A31C1B">
        <w:t xml:space="preserve"> </w:t>
      </w:r>
      <w:r w:rsidR="00A31C1B" w:rsidRPr="00A31C1B">
        <w:rPr>
          <w:color w:val="000000"/>
          <w:szCs w:val="22"/>
          <w:bdr w:val="none" w:sz="0" w:space="0" w:color="auto" w:frame="1"/>
        </w:rPr>
        <w:t>Consultores de la Patagonia SpA, Riquelme N°132, Tel. +56957687492,</w:t>
      </w:r>
      <w:r w:rsidR="00A31C1B">
        <w:rPr>
          <w:color w:val="000000"/>
          <w:szCs w:val="22"/>
          <w:bdr w:val="none" w:sz="0" w:space="0" w:color="auto" w:frame="1"/>
        </w:rPr>
        <w:t xml:space="preserve"> </w:t>
      </w:r>
      <w:hyperlink r:id="rId24" w:history="1">
        <w:r w:rsidR="00A31C1B" w:rsidRPr="0051336C">
          <w:rPr>
            <w:rStyle w:val="Hipervnculo"/>
            <w:szCs w:val="22"/>
            <w:bdr w:val="none" w:sz="0" w:space="0" w:color="auto" w:frame="1"/>
          </w:rPr>
          <w:t>secretaria@consultoresdelapatagonia.cl</w:t>
        </w:r>
      </w:hyperlink>
      <w:r w:rsidR="00A31C1B">
        <w:rPr>
          <w:color w:val="000000"/>
          <w:szCs w:val="22"/>
          <w:bdr w:val="none" w:sz="0" w:space="0" w:color="auto" w:frame="1"/>
        </w:rPr>
        <w:t>.</w:t>
      </w:r>
      <w:r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lastRenderedPageBreak/>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70CF55B3" w14:textId="44ACAEDF" w:rsidR="00FA222C" w:rsidRPr="005F487F" w:rsidRDefault="00245CBE" w:rsidP="00FA222C">
            <w:pPr>
              <w:jc w:val="center"/>
              <w:rPr>
                <w:rFonts w:eastAsia="Arial Unicode MS" w:cstheme="minorHAnsi"/>
                <w:bCs/>
                <w:sz w:val="20"/>
                <w:szCs w:val="22"/>
              </w:rPr>
            </w:pPr>
            <w:r>
              <w:rPr>
                <w:rFonts w:eastAsia="Arial Unicode MS" w:cstheme="minorHAnsi"/>
                <w:bCs/>
                <w:sz w:val="20"/>
                <w:szCs w:val="22"/>
              </w:rPr>
              <w:t>6</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59EF326A" w:rsidR="00FA222C" w:rsidRPr="009569D2" w:rsidRDefault="00D80795" w:rsidP="00D80795">
            <w:pPr>
              <w:pStyle w:val="Prrafodelista"/>
              <w:numPr>
                <w:ilvl w:val="0"/>
                <w:numId w:val="25"/>
              </w:numPr>
              <w:ind w:left="306" w:hanging="284"/>
              <w:jc w:val="both"/>
              <w:rPr>
                <w:rFonts w:eastAsia="Arial Unicode MS" w:cstheme="minorHAnsi"/>
                <w:bCs/>
                <w:szCs w:val="22"/>
              </w:rPr>
            </w:pPr>
            <w:r w:rsidRPr="00D80795">
              <w:rPr>
                <w:rFonts w:eastAsia="Arial Unicode MS" w:cstheme="minorHAnsi"/>
                <w:bCs/>
                <w:sz w:val="20"/>
                <w:szCs w:val="22"/>
              </w:rPr>
              <w:t xml:space="preserve">Personas naturales mayores de 18 años de sexo registral femenino y empresas jurídicas constituidas al menos por un 50% de mujeres y que alguno de sus representantes legales debe ser de sexo registral femenino. </w:t>
            </w:r>
          </w:p>
        </w:tc>
        <w:tc>
          <w:tcPr>
            <w:tcW w:w="877" w:type="pct"/>
            <w:shd w:val="clear" w:color="auto" w:fill="auto"/>
            <w:vAlign w:val="center"/>
          </w:tcPr>
          <w:p w14:paraId="70EF1C51" w14:textId="6CD3EC89" w:rsidR="00FA222C" w:rsidRPr="005F487F" w:rsidRDefault="00245CBE" w:rsidP="00FA222C">
            <w:pPr>
              <w:jc w:val="center"/>
              <w:rPr>
                <w:rFonts w:eastAsia="Arial Unicode MS" w:cstheme="minorHAnsi"/>
                <w:bCs/>
                <w:sz w:val="20"/>
                <w:szCs w:val="22"/>
              </w:rPr>
            </w:pPr>
            <w:r>
              <w:rPr>
                <w:rFonts w:eastAsia="Arial Unicode MS" w:cstheme="minorHAnsi"/>
                <w:bCs/>
                <w:sz w:val="20"/>
                <w:szCs w:val="22"/>
              </w:rPr>
              <w:t>2</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5F029C36" w:rsidR="00FA222C" w:rsidRPr="00AF46C7" w:rsidRDefault="00D80795" w:rsidP="00D80795">
            <w:pPr>
              <w:pStyle w:val="Prrafodelista"/>
              <w:numPr>
                <w:ilvl w:val="0"/>
                <w:numId w:val="25"/>
              </w:numPr>
              <w:ind w:left="306" w:hanging="284"/>
              <w:jc w:val="both"/>
              <w:rPr>
                <w:rFonts w:eastAsia="Arial Unicode MS" w:cs="Arial"/>
                <w:bCs/>
                <w:sz w:val="20"/>
                <w:szCs w:val="18"/>
                <w:lang w:val="es-CL"/>
              </w:rPr>
            </w:pPr>
            <w:r w:rsidRPr="00D80795">
              <w:rPr>
                <w:rFonts w:eastAsia="Arial Unicode MS" w:cs="Arial"/>
                <w:bCs/>
                <w:sz w:val="20"/>
                <w:szCs w:val="18"/>
                <w:lang w:val="es-CL"/>
              </w:rPr>
              <w:t>Comunas con menor número de Beneficiarios, considerando los años 2019, 2020 y 2021 en proporción al número total de empresas de la comuna</w:t>
            </w:r>
            <w:r>
              <w:rPr>
                <w:rFonts w:eastAsia="Arial Unicode MS" w:cs="Arial"/>
                <w:bCs/>
                <w:sz w:val="20"/>
                <w:szCs w:val="18"/>
                <w:lang w:val="es-CL"/>
              </w:rPr>
              <w:t>.</w:t>
            </w:r>
          </w:p>
        </w:tc>
        <w:tc>
          <w:tcPr>
            <w:tcW w:w="877" w:type="pct"/>
            <w:shd w:val="clear" w:color="auto" w:fill="auto"/>
            <w:vAlign w:val="center"/>
          </w:tcPr>
          <w:p w14:paraId="5957DD26" w14:textId="6B9AFB5F" w:rsidR="00FA222C" w:rsidRPr="005F487F" w:rsidRDefault="00245CBE" w:rsidP="00FA222C">
            <w:pPr>
              <w:jc w:val="center"/>
              <w:rPr>
                <w:rFonts w:eastAsia="Arial Unicode MS" w:cstheme="minorHAnsi"/>
                <w:bCs/>
                <w:sz w:val="20"/>
                <w:szCs w:val="22"/>
              </w:rPr>
            </w:pPr>
            <w:r>
              <w:rPr>
                <w:rFonts w:eastAsia="Arial Unicode MS" w:cstheme="minorHAnsi"/>
                <w:bCs/>
                <w:sz w:val="20"/>
                <w:szCs w:val="22"/>
              </w:rPr>
              <w:t>2</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lastRenderedPageBreak/>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 xml:space="preserve">que </w:t>
            </w:r>
            <w:r w:rsidR="001E19A8" w:rsidRPr="00B93A85">
              <w:rPr>
                <w:rFonts w:eastAsia="Arial Unicode MS" w:cs="Arial"/>
                <w:szCs w:val="22"/>
                <w:lang w:val="es-CL"/>
              </w:rPr>
              <w:lastRenderedPageBreak/>
              <w:t>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85D2E03"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2A2C99">
        <w:rPr>
          <w:rFonts w:eastAsia="Arial Unicode MS" w:cs="Arial"/>
          <w:szCs w:val="22"/>
        </w:rPr>
        <w:t>5</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71F10">
        <w:rPr>
          <w:rFonts w:eastAsia="Arial Unicode MS" w:cs="Arial"/>
          <w:szCs w:val="22"/>
        </w:rPr>
        <w:t>n</w:t>
      </w:r>
      <w:r w:rsidR="002A2C99">
        <w:rPr>
          <w:rFonts w:eastAsia="Arial Unicode MS" w:cs="Arial"/>
          <w:szCs w:val="22"/>
        </w:rPr>
        <w:t>cuenta</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C56DFCD"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A31C1B">
              <w:rPr>
                <w:rFonts w:cs="Calibri"/>
                <w:sz w:val="18"/>
                <w:szCs w:val="18"/>
                <w:lang w:eastAsia="en-US"/>
              </w:rPr>
              <w:t>Aysén</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B25259"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B25259"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7D616E3E"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A31C1B">
              <w:rPr>
                <w:rFonts w:cs="Calibri"/>
                <w:sz w:val="18"/>
                <w:szCs w:val="18"/>
                <w:lang w:eastAsia="en-US"/>
              </w:rPr>
              <w:t>Aysén</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B25259"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2BE02DF5"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de </w:t>
            </w:r>
            <w:r w:rsidR="00A31C1B">
              <w:rPr>
                <w:rFonts w:cs="Calibri"/>
                <w:sz w:val="18"/>
                <w:szCs w:val="18"/>
                <w:lang w:eastAsia="en-US"/>
              </w:rPr>
              <w:t>Aysén</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Asimismo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1F2E83" w:rsidRPr="004F6B61" w14:paraId="32D73F14" w14:textId="77777777" w:rsidTr="00BA08E7">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BA08E7">
        <w:trPr>
          <w:jc w:val="center"/>
        </w:trPr>
        <w:tc>
          <w:tcPr>
            <w:tcW w:w="2547"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521"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D1181E3" w:rsidR="008F0968" w:rsidRPr="00B203A1" w:rsidRDefault="00245CBE" w:rsidP="008F0968">
            <w:pPr>
              <w:jc w:val="center"/>
              <w:rPr>
                <w:rFonts w:cstheme="minorHAnsi"/>
                <w:sz w:val="19"/>
                <w:szCs w:val="19"/>
                <w:lang w:val="es-CL" w:eastAsia="en-US"/>
              </w:rPr>
            </w:pPr>
            <w:r>
              <w:rPr>
                <w:rFonts w:cstheme="minorHAnsi"/>
                <w:sz w:val="19"/>
                <w:szCs w:val="19"/>
              </w:rPr>
              <w:t>6</w:t>
            </w:r>
            <w:r w:rsidR="008F0968" w:rsidRPr="00B203A1">
              <w:rPr>
                <w:rFonts w:cstheme="minorHAnsi"/>
                <w:sz w:val="19"/>
                <w:szCs w:val="19"/>
              </w:rPr>
              <w:t>0%</w:t>
            </w:r>
          </w:p>
        </w:tc>
      </w:tr>
      <w:tr w:rsidR="008F0968" w:rsidRPr="004F6B61" w14:paraId="24CCEF01" w14:textId="77777777" w:rsidTr="00BA08E7">
        <w:trPr>
          <w:jc w:val="center"/>
        </w:trPr>
        <w:tc>
          <w:tcPr>
            <w:tcW w:w="2547"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521"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BA08E7">
        <w:trPr>
          <w:jc w:val="center"/>
        </w:trPr>
        <w:tc>
          <w:tcPr>
            <w:tcW w:w="2547"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521"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BA08E7">
        <w:trPr>
          <w:jc w:val="center"/>
        </w:trPr>
        <w:tc>
          <w:tcPr>
            <w:tcW w:w="2547"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521"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A08E7" w:rsidRPr="004F6B61" w14:paraId="0EC35C67" w14:textId="77777777" w:rsidTr="00BA08E7">
        <w:trPr>
          <w:trHeight w:val="1547"/>
          <w:jc w:val="center"/>
        </w:trPr>
        <w:tc>
          <w:tcPr>
            <w:tcW w:w="2547" w:type="dxa"/>
            <w:vMerge w:val="restart"/>
            <w:vAlign w:val="center"/>
          </w:tcPr>
          <w:p w14:paraId="3CA74807" w14:textId="5D1F9C05" w:rsidR="00BA08E7" w:rsidRPr="00AF46C7" w:rsidRDefault="00BA08E7" w:rsidP="00A46D46">
            <w:pPr>
              <w:jc w:val="both"/>
              <w:rPr>
                <w:rFonts w:cstheme="minorHAnsi"/>
                <w:b/>
                <w:sz w:val="20"/>
                <w:szCs w:val="22"/>
                <w:lang w:val="es-CL" w:eastAsia="en-US"/>
              </w:rPr>
            </w:pPr>
            <w:r>
              <w:rPr>
                <w:rFonts w:cstheme="minorHAnsi"/>
                <w:b/>
                <w:sz w:val="20"/>
                <w:szCs w:val="22"/>
                <w:lang w:val="es-CL" w:eastAsia="en-US"/>
              </w:rPr>
              <w:t xml:space="preserve">2. </w:t>
            </w:r>
            <w:r w:rsidRPr="00BA08E7">
              <w:rPr>
                <w:rFonts w:cstheme="minorHAnsi"/>
                <w:b/>
                <w:sz w:val="20"/>
                <w:szCs w:val="22"/>
                <w:lang w:val="es-CL" w:eastAsia="en-US"/>
              </w:rPr>
              <w:t>Personas naturales mayores de 18 años de sexo registral femenino y empresas jurídicas constituidas al menos po</w:t>
            </w:r>
            <w:r w:rsidR="00A46D46">
              <w:rPr>
                <w:rFonts w:cstheme="minorHAnsi"/>
                <w:b/>
                <w:sz w:val="20"/>
                <w:szCs w:val="22"/>
                <w:lang w:val="es-CL" w:eastAsia="en-US"/>
              </w:rPr>
              <w:t>r un 50% de mujeres y que alguna</w:t>
            </w:r>
            <w:r w:rsidRPr="00BA08E7">
              <w:rPr>
                <w:rFonts w:cstheme="minorHAnsi"/>
                <w:b/>
                <w:sz w:val="20"/>
                <w:szCs w:val="22"/>
                <w:lang w:val="es-CL" w:eastAsia="en-US"/>
              </w:rPr>
              <w:t xml:space="preserve"> de sus representantes legales debe ser de sexo registral femenino. </w:t>
            </w: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719672B4" w:rsidR="00BA08E7" w:rsidRPr="00BA08E7" w:rsidRDefault="00BA08E7" w:rsidP="00BA08E7">
            <w:pPr>
              <w:jc w:val="both"/>
              <w:rPr>
                <w:rFonts w:cstheme="minorHAnsi"/>
                <w:sz w:val="18"/>
                <w:szCs w:val="18"/>
              </w:rPr>
            </w:pPr>
            <w:r w:rsidRPr="00BA08E7">
              <w:rPr>
                <w:rFonts w:ascii="Calibri" w:eastAsiaTheme="minorEastAsia" w:hAnsi="Calibri" w:cs="Calibri"/>
                <w:color w:val="000000"/>
                <w:kern w:val="24"/>
                <w:sz w:val="18"/>
              </w:rPr>
              <w:t> </w:t>
            </w:r>
            <w:r w:rsidRPr="00BA08E7">
              <w:rPr>
                <w:rFonts w:eastAsiaTheme="minorEastAsia" w:cstheme="minorBidi"/>
                <w:color w:val="000000"/>
                <w:kern w:val="24"/>
                <w:sz w:val="18"/>
              </w:rPr>
              <w:t xml:space="preserve">Cumple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3758AAFF" w:rsidR="00BA08E7" w:rsidRPr="00BA08E7" w:rsidRDefault="00BA08E7" w:rsidP="00BA08E7">
            <w:pPr>
              <w:jc w:val="center"/>
              <w:rPr>
                <w:rFonts w:cstheme="minorHAnsi"/>
                <w:sz w:val="18"/>
                <w:szCs w:val="18"/>
                <w:lang w:val="es-CL" w:eastAsia="en-US"/>
              </w:rPr>
            </w:pPr>
            <w:r w:rsidRPr="00BA08E7">
              <w:rPr>
                <w:rFonts w:ascii="Calibri" w:eastAsiaTheme="minorEastAsia" w:hAnsi="Calibri" w:cs="Calibri"/>
                <w:color w:val="000000"/>
                <w:kern w:val="24"/>
                <w:sz w:val="18"/>
              </w:rPr>
              <w:t> </w:t>
            </w:r>
            <w:r w:rsidRPr="00BA08E7">
              <w:rPr>
                <w:rFonts w:eastAsiaTheme="minorEastAsia" w:cstheme="minorBidi"/>
                <w:color w:val="000000"/>
                <w:kern w:val="24"/>
                <w:sz w:val="18"/>
              </w:rPr>
              <w:t>7</w:t>
            </w:r>
          </w:p>
        </w:tc>
        <w:tc>
          <w:tcPr>
            <w:tcW w:w="1335" w:type="dxa"/>
            <w:vMerge w:val="restart"/>
            <w:vAlign w:val="center"/>
          </w:tcPr>
          <w:p w14:paraId="401C0A49" w14:textId="185268A8" w:rsidR="00BA08E7" w:rsidRDefault="00245CBE" w:rsidP="00BA08E7">
            <w:pPr>
              <w:jc w:val="center"/>
              <w:rPr>
                <w:rFonts w:cstheme="minorHAnsi"/>
                <w:sz w:val="19"/>
                <w:szCs w:val="19"/>
              </w:rPr>
            </w:pPr>
            <w:r>
              <w:rPr>
                <w:rFonts w:cstheme="minorHAnsi"/>
                <w:sz w:val="19"/>
                <w:szCs w:val="19"/>
              </w:rPr>
              <w:t>2</w:t>
            </w:r>
            <w:r w:rsidR="00BA08E7">
              <w:rPr>
                <w:rFonts w:cstheme="minorHAnsi"/>
                <w:sz w:val="19"/>
                <w:szCs w:val="19"/>
              </w:rPr>
              <w:t>0%</w:t>
            </w:r>
          </w:p>
        </w:tc>
      </w:tr>
      <w:tr w:rsidR="00BA08E7" w:rsidRPr="004F6B61" w14:paraId="514D2B1B" w14:textId="77777777" w:rsidTr="00BA08E7">
        <w:trPr>
          <w:trHeight w:val="427"/>
          <w:jc w:val="center"/>
        </w:trPr>
        <w:tc>
          <w:tcPr>
            <w:tcW w:w="2547" w:type="dxa"/>
            <w:vMerge/>
            <w:vAlign w:val="center"/>
          </w:tcPr>
          <w:p w14:paraId="77BC92A3" w14:textId="77777777" w:rsidR="00BA08E7" w:rsidRDefault="00BA08E7" w:rsidP="00BA08E7">
            <w:pPr>
              <w:rPr>
                <w:rFonts w:cstheme="minorHAnsi"/>
                <w:b/>
                <w:sz w:val="20"/>
                <w:szCs w:val="20"/>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5219F942" w:rsidR="00BA08E7" w:rsidRPr="00BA08E7" w:rsidRDefault="00BA08E7" w:rsidP="00BA08E7">
            <w:pPr>
              <w:jc w:val="both"/>
              <w:rPr>
                <w:rFonts w:cstheme="minorHAnsi"/>
                <w:sz w:val="18"/>
                <w:szCs w:val="18"/>
              </w:rPr>
            </w:pPr>
            <w:r w:rsidRPr="00BA08E7">
              <w:rPr>
                <w:rFonts w:ascii="Calibri" w:eastAsiaTheme="minorEastAsia" w:hAnsi="Calibri" w:cs="Calibri"/>
                <w:color w:val="000000"/>
                <w:kern w:val="24"/>
                <w:sz w:val="18"/>
              </w:rPr>
              <w:t> </w:t>
            </w:r>
            <w:r w:rsidRPr="00BA08E7">
              <w:rPr>
                <w:rFonts w:eastAsiaTheme="minorEastAsia" w:cstheme="minorBidi"/>
                <w:color w:val="000000"/>
                <w:kern w:val="24"/>
                <w:sz w:val="18"/>
              </w:rPr>
              <w:t>No Cumple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3D20A8D0" w:rsidR="00BA08E7" w:rsidRPr="00BA08E7" w:rsidRDefault="00BA08E7" w:rsidP="00BA08E7">
            <w:pPr>
              <w:jc w:val="center"/>
              <w:rPr>
                <w:rFonts w:cstheme="minorHAnsi"/>
                <w:sz w:val="18"/>
                <w:szCs w:val="18"/>
                <w:lang w:val="es-CL" w:eastAsia="en-US"/>
              </w:rPr>
            </w:pPr>
            <w:r w:rsidRPr="00BA08E7">
              <w:rPr>
                <w:rFonts w:ascii="Calibri" w:eastAsiaTheme="minorEastAsia" w:hAnsi="Calibri" w:cs="Calibri"/>
                <w:color w:val="000000"/>
                <w:kern w:val="24"/>
                <w:sz w:val="18"/>
              </w:rPr>
              <w:t> </w:t>
            </w:r>
            <w:r w:rsidRPr="00BA08E7">
              <w:rPr>
                <w:rFonts w:eastAsiaTheme="minorEastAsia" w:cstheme="minorBidi"/>
                <w:color w:val="000000"/>
                <w:kern w:val="24"/>
                <w:sz w:val="18"/>
              </w:rPr>
              <w:t>1</w:t>
            </w:r>
          </w:p>
        </w:tc>
        <w:tc>
          <w:tcPr>
            <w:tcW w:w="1335" w:type="dxa"/>
            <w:vMerge/>
            <w:vAlign w:val="center"/>
          </w:tcPr>
          <w:p w14:paraId="24259837" w14:textId="77777777" w:rsidR="00BA08E7" w:rsidRDefault="00BA08E7" w:rsidP="00BA08E7">
            <w:pPr>
              <w:jc w:val="center"/>
              <w:rPr>
                <w:rFonts w:cstheme="minorHAnsi"/>
                <w:sz w:val="19"/>
                <w:szCs w:val="19"/>
              </w:rPr>
            </w:pPr>
          </w:p>
        </w:tc>
      </w:tr>
      <w:tr w:rsidR="00E90061" w:rsidRPr="004F6B61" w14:paraId="2DC86634" w14:textId="77777777" w:rsidTr="00BA08E7">
        <w:trPr>
          <w:trHeight w:val="384"/>
          <w:jc w:val="center"/>
        </w:trPr>
        <w:tc>
          <w:tcPr>
            <w:tcW w:w="2547" w:type="dxa"/>
            <w:vMerge w:val="restart"/>
            <w:vAlign w:val="center"/>
            <w:hideMark/>
          </w:tcPr>
          <w:p w14:paraId="6D732D8D" w14:textId="45062103" w:rsidR="00E90061" w:rsidRPr="00EC5053" w:rsidRDefault="001910FC" w:rsidP="00E90061">
            <w:pPr>
              <w:jc w:val="both"/>
              <w:rPr>
                <w:rFonts w:cstheme="minorHAnsi"/>
                <w:b/>
                <w:sz w:val="20"/>
                <w:szCs w:val="22"/>
                <w:lang w:val="es-CL" w:eastAsia="en-US"/>
              </w:rPr>
            </w:pPr>
            <w:r>
              <w:rPr>
                <w:rFonts w:cstheme="minorHAnsi"/>
                <w:b/>
                <w:sz w:val="20"/>
                <w:szCs w:val="20"/>
              </w:rPr>
              <w:lastRenderedPageBreak/>
              <w:t>3</w:t>
            </w:r>
            <w:r w:rsidR="00E90061" w:rsidRPr="00EC5053">
              <w:rPr>
                <w:rFonts w:cstheme="minorHAnsi"/>
                <w:b/>
                <w:sz w:val="20"/>
                <w:szCs w:val="20"/>
              </w:rPr>
              <w:t xml:space="preserve">. </w:t>
            </w:r>
            <w:r w:rsidR="00E90061" w:rsidRPr="00E90061">
              <w:rPr>
                <w:rFonts w:cstheme="minorHAnsi"/>
                <w:b/>
                <w:sz w:val="20"/>
                <w:szCs w:val="20"/>
              </w:rPr>
              <w:t xml:space="preserve">Comunas con menor número de Beneficiarios, considerando los años 2019, 2020 y 2021 en proporción al número total de empresas de la comuna </w:t>
            </w: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2906449B" w:rsidR="00E90061" w:rsidRPr="00E90061" w:rsidRDefault="00E90061" w:rsidP="00E90061">
            <w:pPr>
              <w:pStyle w:val="NormalWeb"/>
              <w:spacing w:before="0" w:beforeAutospacing="0" w:after="0" w:afterAutospacing="0"/>
              <w:jc w:val="both"/>
              <w:rPr>
                <w:rFonts w:cs="Arial"/>
                <w:color w:val="000000"/>
                <w:kern w:val="24"/>
                <w:sz w:val="18"/>
                <w:szCs w:val="18"/>
              </w:rPr>
            </w:pPr>
            <w:r w:rsidRPr="00E90061">
              <w:rPr>
                <w:rFonts w:eastAsiaTheme="minorEastAsia" w:cstheme="minorBidi"/>
                <w:color w:val="000000"/>
                <w:kern w:val="24"/>
                <w:sz w:val="18"/>
                <w:szCs w:val="18"/>
              </w:rPr>
              <w:t>El/la postulante tiene y/o acredita domicilio actual en alguna de las siguientes comunas/sectores de la Región de Aysén: O’Higgins, Guaitecas, Río Ibáñez, Sector Rural de comunas de Aysén o Coyhaique. Al momento de la evaluación.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3E36FDF" w:rsidR="00E90061" w:rsidRPr="00E90061" w:rsidRDefault="00E90061" w:rsidP="00E90061">
            <w:pPr>
              <w:jc w:val="center"/>
              <w:rPr>
                <w:rFonts w:cs="Arial"/>
                <w:color w:val="000000"/>
                <w:kern w:val="24"/>
                <w:sz w:val="18"/>
                <w:szCs w:val="18"/>
              </w:rPr>
            </w:pPr>
            <w:r w:rsidRPr="00E90061">
              <w:rPr>
                <w:rFonts w:ascii="Calibri" w:eastAsiaTheme="minorEastAsia" w:hAnsi="Calibri" w:cs="Calibri"/>
                <w:color w:val="000000"/>
                <w:kern w:val="24"/>
                <w:sz w:val="18"/>
                <w:szCs w:val="18"/>
              </w:rPr>
              <w:t> </w:t>
            </w:r>
            <w:r w:rsidRPr="00E90061">
              <w:rPr>
                <w:rFonts w:eastAsiaTheme="minorEastAsia" w:cstheme="minorBidi"/>
                <w:color w:val="000000"/>
                <w:kern w:val="24"/>
                <w:sz w:val="18"/>
                <w:szCs w:val="18"/>
              </w:rPr>
              <w:t>7</w:t>
            </w:r>
          </w:p>
        </w:tc>
        <w:tc>
          <w:tcPr>
            <w:tcW w:w="1335" w:type="dxa"/>
            <w:vMerge w:val="restart"/>
            <w:vAlign w:val="center"/>
            <w:hideMark/>
          </w:tcPr>
          <w:p w14:paraId="3A50187E" w14:textId="3CB41964" w:rsidR="00E90061" w:rsidRPr="00B203A1" w:rsidRDefault="00245CBE" w:rsidP="00E90061">
            <w:pPr>
              <w:jc w:val="center"/>
              <w:rPr>
                <w:rFonts w:cstheme="minorHAnsi"/>
                <w:sz w:val="20"/>
                <w:szCs w:val="22"/>
                <w:lang w:val="es-CL" w:eastAsia="en-US"/>
              </w:rPr>
            </w:pPr>
            <w:r>
              <w:rPr>
                <w:rFonts w:cstheme="minorHAnsi"/>
                <w:sz w:val="18"/>
                <w:szCs w:val="22"/>
              </w:rPr>
              <w:t>2</w:t>
            </w:r>
            <w:r w:rsidR="00E90061">
              <w:rPr>
                <w:rFonts w:cstheme="minorHAnsi"/>
                <w:sz w:val="18"/>
                <w:szCs w:val="22"/>
              </w:rPr>
              <w:t>0</w:t>
            </w:r>
            <w:r w:rsidR="00E90061" w:rsidRPr="00B203A1">
              <w:rPr>
                <w:rFonts w:cstheme="minorHAnsi"/>
                <w:sz w:val="18"/>
                <w:szCs w:val="22"/>
              </w:rPr>
              <w:t>%</w:t>
            </w:r>
          </w:p>
        </w:tc>
      </w:tr>
      <w:tr w:rsidR="00E90061" w:rsidRPr="004F6B61" w14:paraId="239B34C1" w14:textId="77777777" w:rsidTr="00BA08E7">
        <w:trPr>
          <w:trHeight w:val="418"/>
          <w:jc w:val="center"/>
        </w:trPr>
        <w:tc>
          <w:tcPr>
            <w:tcW w:w="2547" w:type="dxa"/>
            <w:vMerge/>
            <w:vAlign w:val="center"/>
            <w:hideMark/>
          </w:tcPr>
          <w:p w14:paraId="7C0596DA" w14:textId="77777777" w:rsidR="00E90061" w:rsidRPr="00EC5053" w:rsidRDefault="00E90061" w:rsidP="00E90061">
            <w:pPr>
              <w:rPr>
                <w:rFonts w:cstheme="minorHAnsi"/>
                <w:sz w:val="20"/>
                <w:szCs w:val="22"/>
                <w:lang w:val="es-CL" w:eastAsia="en-US"/>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04482D74" w:rsidR="00E90061" w:rsidRPr="00E90061" w:rsidRDefault="00E90061" w:rsidP="00E90061">
            <w:pPr>
              <w:pStyle w:val="NormalWeb"/>
              <w:spacing w:before="0" w:beforeAutospacing="0" w:after="0" w:afterAutospacing="0"/>
              <w:jc w:val="both"/>
              <w:rPr>
                <w:rFonts w:cs="Arial"/>
                <w:color w:val="000000"/>
                <w:kern w:val="24"/>
                <w:sz w:val="18"/>
                <w:szCs w:val="18"/>
              </w:rPr>
            </w:pPr>
            <w:r w:rsidRPr="00E90061">
              <w:rPr>
                <w:rFonts w:cs="Calibri"/>
                <w:color w:val="000000" w:themeColor="text1"/>
                <w:kern w:val="24"/>
                <w:sz w:val="18"/>
                <w:szCs w:val="18"/>
              </w:rPr>
              <w:t>El/la postulante tiene y/o acredita domicilio actual en alguna de las siguientes comunas/sectores de la Región de Aysén: Chile Chico, Cochrane, Cisnes, Lago Verde o Tortel. Al momento de la evaluación.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23AA455E" w:rsidR="00E90061" w:rsidRPr="00E90061" w:rsidRDefault="00E90061" w:rsidP="00E90061">
            <w:pPr>
              <w:jc w:val="center"/>
              <w:rPr>
                <w:rFonts w:cs="Arial"/>
                <w:color w:val="000000"/>
                <w:kern w:val="24"/>
                <w:sz w:val="18"/>
                <w:szCs w:val="18"/>
              </w:rPr>
            </w:pPr>
            <w:r w:rsidRPr="00E90061">
              <w:rPr>
                <w:rFonts w:ascii="Calibri" w:hAnsi="Calibri" w:cs="Calibri"/>
                <w:color w:val="000000"/>
                <w:kern w:val="24"/>
                <w:sz w:val="18"/>
                <w:szCs w:val="18"/>
              </w:rPr>
              <w:t> </w:t>
            </w:r>
            <w:r w:rsidRPr="00E90061">
              <w:rPr>
                <w:rFonts w:cs="Arial"/>
                <w:color w:val="000000"/>
                <w:kern w:val="24"/>
                <w:sz w:val="18"/>
                <w:szCs w:val="18"/>
              </w:rPr>
              <w:t>5</w:t>
            </w:r>
          </w:p>
        </w:tc>
        <w:tc>
          <w:tcPr>
            <w:tcW w:w="1335" w:type="dxa"/>
            <w:vMerge/>
            <w:vAlign w:val="center"/>
            <w:hideMark/>
          </w:tcPr>
          <w:p w14:paraId="7F2E05A3" w14:textId="77777777" w:rsidR="00E90061" w:rsidRPr="00EC5053" w:rsidRDefault="00E90061" w:rsidP="00E90061">
            <w:pPr>
              <w:rPr>
                <w:rFonts w:cstheme="minorHAnsi"/>
                <w:b/>
                <w:sz w:val="20"/>
                <w:szCs w:val="22"/>
                <w:lang w:val="es-CL" w:eastAsia="en-US"/>
              </w:rPr>
            </w:pPr>
          </w:p>
        </w:tc>
      </w:tr>
      <w:tr w:rsidR="00E90061" w:rsidRPr="004F6B61" w14:paraId="53BB0CDC" w14:textId="77777777" w:rsidTr="00BA08E7">
        <w:trPr>
          <w:trHeight w:val="418"/>
          <w:jc w:val="center"/>
        </w:trPr>
        <w:tc>
          <w:tcPr>
            <w:tcW w:w="2547" w:type="dxa"/>
            <w:vAlign w:val="center"/>
          </w:tcPr>
          <w:p w14:paraId="0815E5B2" w14:textId="77777777" w:rsidR="00E90061" w:rsidRPr="00EC5053" w:rsidRDefault="00E90061" w:rsidP="00E90061">
            <w:pPr>
              <w:rPr>
                <w:rFonts w:cstheme="minorHAnsi"/>
                <w:sz w:val="20"/>
                <w:szCs w:val="22"/>
                <w:lang w:val="es-CL" w:eastAsia="en-US"/>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9569" w14:textId="21595B24" w:rsidR="00E90061" w:rsidRPr="00E90061" w:rsidRDefault="00E90061" w:rsidP="00E90061">
            <w:pPr>
              <w:jc w:val="both"/>
              <w:rPr>
                <w:rFonts w:cs="Arial"/>
                <w:color w:val="000000"/>
                <w:kern w:val="24"/>
                <w:sz w:val="18"/>
                <w:szCs w:val="18"/>
              </w:rPr>
            </w:pPr>
            <w:r w:rsidRPr="00E90061">
              <w:rPr>
                <w:rFonts w:cs="Calibri"/>
                <w:color w:val="000000" w:themeColor="text1"/>
                <w:kern w:val="24"/>
                <w:sz w:val="18"/>
                <w:szCs w:val="18"/>
              </w:rPr>
              <w:t xml:space="preserve">El/la postulante tiene y/o acredita domicilio actual en alguna de las siguientes comunas/sectores de la Región de Aysén: </w:t>
            </w:r>
            <w:r w:rsidRPr="00E90061">
              <w:rPr>
                <w:rFonts w:cs="Calibri"/>
                <w:color w:val="000000" w:themeColor="text1"/>
                <w:kern w:val="24"/>
                <w:sz w:val="18"/>
                <w:szCs w:val="18"/>
                <w:u w:val="single"/>
              </w:rPr>
              <w:t>Sector Urbano</w:t>
            </w:r>
            <w:r w:rsidRPr="00E90061">
              <w:rPr>
                <w:rFonts w:cs="Calibri"/>
                <w:color w:val="000000" w:themeColor="text1"/>
                <w:kern w:val="24"/>
                <w:sz w:val="18"/>
                <w:szCs w:val="18"/>
              </w:rPr>
              <w:t xml:space="preserve"> de comunas de Aysén o Coyhaique. Al momento de la evaluación.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BC61" w14:textId="2DC17711" w:rsidR="00E90061" w:rsidRPr="00E90061" w:rsidRDefault="00E90061" w:rsidP="00E90061">
            <w:pPr>
              <w:jc w:val="center"/>
              <w:rPr>
                <w:rFonts w:cs="Arial"/>
                <w:color w:val="000000"/>
                <w:kern w:val="24"/>
                <w:sz w:val="18"/>
                <w:szCs w:val="18"/>
              </w:rPr>
            </w:pPr>
            <w:r w:rsidRPr="00E90061">
              <w:rPr>
                <w:rFonts w:ascii="Calibri" w:hAnsi="Calibri" w:cs="Calibri"/>
                <w:color w:val="000000"/>
                <w:kern w:val="24"/>
                <w:sz w:val="18"/>
                <w:szCs w:val="18"/>
              </w:rPr>
              <w:t> </w:t>
            </w:r>
            <w:r w:rsidRPr="00E90061">
              <w:rPr>
                <w:rFonts w:cs="Arial"/>
                <w:color w:val="000000"/>
                <w:kern w:val="24"/>
                <w:sz w:val="18"/>
                <w:szCs w:val="18"/>
              </w:rPr>
              <w:t>3</w:t>
            </w:r>
          </w:p>
        </w:tc>
        <w:tc>
          <w:tcPr>
            <w:tcW w:w="1335" w:type="dxa"/>
            <w:vAlign w:val="center"/>
          </w:tcPr>
          <w:p w14:paraId="3898A9E8" w14:textId="77777777" w:rsidR="00E90061" w:rsidRPr="00EC5053" w:rsidRDefault="00E90061" w:rsidP="00E90061">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B25259"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24127" w14:textId="77777777" w:rsidR="00B25259" w:rsidRDefault="00B25259" w:rsidP="0042236C">
      <w:r>
        <w:separator/>
      </w:r>
    </w:p>
  </w:endnote>
  <w:endnote w:type="continuationSeparator" w:id="0">
    <w:p w14:paraId="6767A7F5" w14:textId="77777777" w:rsidR="00B25259" w:rsidRDefault="00B2525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ED09EE8" w:rsidR="00A31C1B" w:rsidRPr="00BD14F7" w:rsidRDefault="00A31C1B">
    <w:pPr>
      <w:pStyle w:val="Piedepgina"/>
      <w:jc w:val="right"/>
    </w:pPr>
    <w:r w:rsidRPr="00BD14F7">
      <w:fldChar w:fldCharType="begin"/>
    </w:r>
    <w:r w:rsidRPr="00BD14F7">
      <w:instrText>PAGE   \* MERGEFORMAT</w:instrText>
    </w:r>
    <w:r w:rsidRPr="00BD14F7">
      <w:fldChar w:fldCharType="separate"/>
    </w:r>
    <w:r w:rsidR="00705383">
      <w:rPr>
        <w:noProof/>
      </w:rPr>
      <w:t>3</w:t>
    </w:r>
    <w:r w:rsidRPr="00BD14F7">
      <w:rPr>
        <w:noProof/>
      </w:rPr>
      <w:fldChar w:fldCharType="end"/>
    </w:r>
  </w:p>
  <w:p w14:paraId="5F9E5B17" w14:textId="77777777" w:rsidR="00A31C1B" w:rsidRPr="00C25B42" w:rsidRDefault="00A31C1B" w:rsidP="00C25B42">
    <w:pPr>
      <w:tabs>
        <w:tab w:val="center" w:pos="4252"/>
        <w:tab w:val="right" w:pos="8504"/>
      </w:tabs>
      <w:jc w:val="center"/>
      <w:rPr>
        <w:sz w:val="24"/>
      </w:rPr>
    </w:pPr>
    <w:r w:rsidRPr="00C25B42">
      <w:rPr>
        <w:noProof/>
        <w:sz w:val="24"/>
        <w:lang w:val="es-CL" w:eastAsia="es-CL"/>
      </w:rPr>
      <w:t>www.sercotec.cl</w:t>
    </w:r>
  </w:p>
  <w:p w14:paraId="5919636F" w14:textId="77777777" w:rsidR="00A31C1B" w:rsidRDefault="00A31C1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31C1B" w:rsidRDefault="00A31C1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0C81D" w14:textId="77777777" w:rsidR="00B25259" w:rsidRDefault="00B25259"/>
  </w:footnote>
  <w:footnote w:type="continuationSeparator" w:id="0">
    <w:p w14:paraId="3A3BA6DD" w14:textId="77777777" w:rsidR="00B25259" w:rsidRDefault="00B25259"/>
  </w:footnote>
  <w:footnote w:id="1">
    <w:p w14:paraId="553DF13E" w14:textId="78B2736A" w:rsidR="00A31C1B" w:rsidRPr="004244F2" w:rsidRDefault="00A31C1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A31C1B" w:rsidRPr="0070407B" w:rsidRDefault="00A31C1B"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31C1B" w:rsidRPr="002E7EE6" w:rsidRDefault="00A31C1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31C1B" w:rsidRPr="002E7EE6" w:rsidRDefault="00A31C1B">
      <w:pPr>
        <w:pStyle w:val="Textonotapie"/>
        <w:rPr>
          <w:lang w:val="es-419"/>
        </w:rPr>
      </w:pPr>
    </w:p>
  </w:footnote>
  <w:footnote w:id="4">
    <w:p w14:paraId="7597D5E8" w14:textId="77777777" w:rsidR="00A31C1B" w:rsidRPr="00273436" w:rsidRDefault="00A31C1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31C1B" w:rsidRPr="005F4396" w:rsidRDefault="00A31C1B">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A31C1B" w:rsidRPr="002B0090" w:rsidRDefault="00A31C1B">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A31C1B" w:rsidRPr="00D4342C" w:rsidRDefault="00A31C1B" w:rsidP="00D4342C">
      <w:pPr>
        <w:pStyle w:val="Textonotapie"/>
      </w:pPr>
    </w:p>
  </w:footnote>
  <w:footnote w:id="8">
    <w:p w14:paraId="0A3FD0F5" w14:textId="77777777" w:rsidR="00A31C1B" w:rsidRPr="00012C13" w:rsidRDefault="00A31C1B"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A31C1B" w:rsidRPr="00686FCB" w:rsidRDefault="00A31C1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A31C1B" w:rsidRPr="00023CC5" w:rsidRDefault="00A31C1B">
      <w:pPr>
        <w:pStyle w:val="Textonotapie"/>
        <w:rPr>
          <w:lang w:val="es-MX"/>
        </w:rPr>
      </w:pPr>
    </w:p>
  </w:footnote>
  <w:footnote w:id="10">
    <w:p w14:paraId="5CA30445" w14:textId="77777777" w:rsidR="00A31C1B" w:rsidRPr="002B75C6" w:rsidRDefault="00A31C1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A31C1B" w:rsidRPr="00A75D6D" w:rsidRDefault="00A31C1B"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A31C1B" w:rsidRPr="004B1C4D" w:rsidRDefault="00A31C1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A31C1B" w:rsidRPr="004B1C4D" w:rsidRDefault="00A31C1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A31C1B" w:rsidRPr="00973621" w:rsidRDefault="00A31C1B"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A31C1B" w:rsidRDefault="00A31C1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31C1B" w:rsidRDefault="00A31C1B"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31C1B" w:rsidRDefault="00A31C1B"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31C1B" w:rsidRDefault="00A31C1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6"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3"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6"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1"/>
  </w:num>
  <w:num w:numId="2">
    <w:abstractNumId w:val="3"/>
  </w:num>
  <w:num w:numId="3">
    <w:abstractNumId w:val="46"/>
  </w:num>
  <w:num w:numId="4">
    <w:abstractNumId w:val="53"/>
  </w:num>
  <w:num w:numId="5">
    <w:abstractNumId w:val="12"/>
  </w:num>
  <w:num w:numId="6">
    <w:abstractNumId w:val="15"/>
  </w:num>
  <w:num w:numId="7">
    <w:abstractNumId w:val="50"/>
  </w:num>
  <w:num w:numId="8">
    <w:abstractNumId w:val="55"/>
  </w:num>
  <w:num w:numId="9">
    <w:abstractNumId w:val="35"/>
  </w:num>
  <w:num w:numId="10">
    <w:abstractNumId w:val="31"/>
  </w:num>
  <w:num w:numId="11">
    <w:abstractNumId w:val="14"/>
  </w:num>
  <w:num w:numId="12">
    <w:abstractNumId w:val="64"/>
  </w:num>
  <w:num w:numId="13">
    <w:abstractNumId w:val="60"/>
  </w:num>
  <w:num w:numId="14">
    <w:abstractNumId w:val="18"/>
  </w:num>
  <w:num w:numId="15">
    <w:abstractNumId w:val="63"/>
  </w:num>
  <w:num w:numId="16">
    <w:abstractNumId w:val="2"/>
  </w:num>
  <w:num w:numId="17">
    <w:abstractNumId w:val="67"/>
  </w:num>
  <w:num w:numId="18">
    <w:abstractNumId w:val="19"/>
  </w:num>
  <w:num w:numId="19">
    <w:abstractNumId w:val="39"/>
  </w:num>
  <w:num w:numId="20">
    <w:abstractNumId w:val="36"/>
  </w:num>
  <w:num w:numId="21">
    <w:abstractNumId w:val="57"/>
  </w:num>
  <w:num w:numId="22">
    <w:abstractNumId w:val="10"/>
  </w:num>
  <w:num w:numId="23">
    <w:abstractNumId w:val="7"/>
  </w:num>
  <w:num w:numId="24">
    <w:abstractNumId w:val="49"/>
  </w:num>
  <w:num w:numId="25">
    <w:abstractNumId w:val="48"/>
  </w:num>
  <w:num w:numId="26">
    <w:abstractNumId w:val="26"/>
  </w:num>
  <w:num w:numId="27">
    <w:abstractNumId w:val="25"/>
  </w:num>
  <w:num w:numId="28">
    <w:abstractNumId w:val="6"/>
  </w:num>
  <w:num w:numId="29">
    <w:abstractNumId w:val="11"/>
  </w:num>
  <w:num w:numId="30">
    <w:abstractNumId w:val="1"/>
  </w:num>
  <w:num w:numId="31">
    <w:abstractNumId w:val="5"/>
  </w:num>
  <w:num w:numId="32">
    <w:abstractNumId w:val="41"/>
  </w:num>
  <w:num w:numId="33">
    <w:abstractNumId w:val="43"/>
  </w:num>
  <w:num w:numId="34">
    <w:abstractNumId w:val="46"/>
  </w:num>
  <w:num w:numId="35">
    <w:abstractNumId w:val="9"/>
  </w:num>
  <w:num w:numId="36">
    <w:abstractNumId w:val="32"/>
  </w:num>
  <w:num w:numId="37">
    <w:abstractNumId w:val="40"/>
  </w:num>
  <w:num w:numId="38">
    <w:abstractNumId w:val="16"/>
  </w:num>
  <w:num w:numId="39">
    <w:abstractNumId w:val="22"/>
  </w:num>
  <w:num w:numId="40">
    <w:abstractNumId w:val="62"/>
  </w:num>
  <w:num w:numId="41">
    <w:abstractNumId w:val="37"/>
  </w:num>
  <w:num w:numId="42">
    <w:abstractNumId w:val="24"/>
  </w:num>
  <w:num w:numId="43">
    <w:abstractNumId w:val="29"/>
  </w:num>
  <w:num w:numId="44">
    <w:abstractNumId w:val="47"/>
  </w:num>
  <w:num w:numId="45">
    <w:abstractNumId w:val="54"/>
  </w:num>
  <w:num w:numId="46">
    <w:abstractNumId w:val="61"/>
  </w:num>
  <w:num w:numId="47">
    <w:abstractNumId w:val="45"/>
    <w:lvlOverride w:ilvl="0">
      <w:lvl w:ilvl="0">
        <w:numFmt w:val="lowerLetter"/>
        <w:lvlText w:val="%1."/>
        <w:lvlJc w:val="left"/>
      </w:lvl>
    </w:lvlOverride>
  </w:num>
  <w:num w:numId="48">
    <w:abstractNumId w:val="59"/>
  </w:num>
  <w:num w:numId="49">
    <w:abstractNumId w:val="4"/>
  </w:num>
  <w:num w:numId="50">
    <w:abstractNumId w:val="28"/>
  </w:num>
  <w:num w:numId="51">
    <w:abstractNumId w:val="38"/>
  </w:num>
  <w:num w:numId="52">
    <w:abstractNumId w:val="33"/>
  </w:num>
  <w:num w:numId="53">
    <w:abstractNumId w:val="65"/>
  </w:num>
  <w:num w:numId="54">
    <w:abstractNumId w:val="13"/>
  </w:num>
  <w:num w:numId="55">
    <w:abstractNumId w:val="23"/>
  </w:num>
  <w:num w:numId="56">
    <w:abstractNumId w:val="42"/>
  </w:num>
  <w:num w:numId="57">
    <w:abstractNumId w:val="52"/>
  </w:num>
  <w:num w:numId="58">
    <w:abstractNumId w:val="56"/>
  </w:num>
  <w:num w:numId="59">
    <w:abstractNumId w:val="58"/>
  </w:num>
  <w:num w:numId="60">
    <w:abstractNumId w:val="21"/>
  </w:num>
  <w:num w:numId="61">
    <w:abstractNumId w:val="44"/>
  </w:num>
  <w:num w:numId="62">
    <w:abstractNumId w:val="66"/>
  </w:num>
  <w:num w:numId="63">
    <w:abstractNumId w:val="30"/>
  </w:num>
  <w:num w:numId="64">
    <w:abstractNumId w:val="8"/>
  </w:num>
  <w:num w:numId="65">
    <w:abstractNumId w:val="0"/>
  </w:num>
  <w:num w:numId="66">
    <w:abstractNumId w:val="27"/>
  </w:num>
  <w:num w:numId="67">
    <w:abstractNumId w:val="34"/>
  </w:num>
  <w:num w:numId="68">
    <w:abstractNumId w:val="20"/>
  </w:num>
  <w:num w:numId="69">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secretaria@consultoresdelapatagonia.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85392797-514C-4CFB-AA9C-33648EFA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18412</Words>
  <Characters>101272</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119446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2</cp:revision>
  <cp:lastPrinted>2022-06-07T03:08:00Z</cp:lastPrinted>
  <dcterms:created xsi:type="dcterms:W3CDTF">2022-06-07T03:08:00Z</dcterms:created>
  <dcterms:modified xsi:type="dcterms:W3CDTF">2022-06-07T03:08:00Z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