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7DBF6404"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382B9F">
        <w:rPr>
          <w:rFonts w:eastAsia="Arial Unicode MS" w:cs="Arial"/>
          <w:b/>
          <w:bCs/>
          <w:sz w:val="40"/>
          <w:szCs w:val="40"/>
        </w:rPr>
        <w:t>ARICA Y PARINACOTA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347C680C" w14:textId="277B7511" w:rsidR="00EC4D5E"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06229" w:history="1">
            <w:r w:rsidR="00EC4D5E" w:rsidRPr="00EE61CD">
              <w:rPr>
                <w:rStyle w:val="Hipervnculo"/>
                <w:noProof/>
              </w:rPr>
              <w:t>1.</w:t>
            </w:r>
            <w:r w:rsidR="00EC4D5E">
              <w:rPr>
                <w:rFonts w:asciiTheme="minorHAnsi" w:eastAsiaTheme="minorEastAsia" w:hAnsiTheme="minorHAnsi" w:cstheme="minorBidi"/>
                <w:b w:val="0"/>
                <w:bCs w:val="0"/>
                <w:noProof/>
                <w:lang w:val="es-CL" w:eastAsia="es-CL"/>
              </w:rPr>
              <w:tab/>
            </w:r>
            <w:r w:rsidR="00EC4D5E" w:rsidRPr="00EE61CD">
              <w:rPr>
                <w:rStyle w:val="Hipervnculo"/>
                <w:noProof/>
              </w:rPr>
              <w:t>DESCRIPCIÓN DEL INSTRUMENTO.</w:t>
            </w:r>
            <w:r w:rsidR="00EC4D5E">
              <w:rPr>
                <w:noProof/>
                <w:webHidden/>
              </w:rPr>
              <w:tab/>
            </w:r>
            <w:r w:rsidR="00EC4D5E">
              <w:rPr>
                <w:noProof/>
                <w:webHidden/>
              </w:rPr>
              <w:fldChar w:fldCharType="begin"/>
            </w:r>
            <w:r w:rsidR="00EC4D5E">
              <w:rPr>
                <w:noProof/>
                <w:webHidden/>
              </w:rPr>
              <w:instrText xml:space="preserve"> PAGEREF _Toc80106229 \h </w:instrText>
            </w:r>
            <w:r w:rsidR="00EC4D5E">
              <w:rPr>
                <w:noProof/>
                <w:webHidden/>
              </w:rPr>
            </w:r>
            <w:r w:rsidR="00EC4D5E">
              <w:rPr>
                <w:noProof/>
                <w:webHidden/>
              </w:rPr>
              <w:fldChar w:fldCharType="separate"/>
            </w:r>
            <w:r w:rsidR="005F141F">
              <w:rPr>
                <w:noProof/>
                <w:webHidden/>
              </w:rPr>
              <w:t>3</w:t>
            </w:r>
            <w:r w:rsidR="00EC4D5E">
              <w:rPr>
                <w:noProof/>
                <w:webHidden/>
              </w:rPr>
              <w:fldChar w:fldCharType="end"/>
            </w:r>
          </w:hyperlink>
        </w:p>
        <w:p w14:paraId="23B06BCE" w14:textId="7C3A89CF" w:rsidR="00EC4D5E" w:rsidRDefault="00210A9C">
          <w:pPr>
            <w:pStyle w:val="TDC2"/>
            <w:rPr>
              <w:rFonts w:asciiTheme="minorHAnsi" w:eastAsiaTheme="minorEastAsia" w:hAnsiTheme="minorHAnsi" w:cstheme="minorBidi"/>
              <w:b w:val="0"/>
              <w:bCs w:val="0"/>
              <w:noProof/>
              <w:lang w:val="es-CL" w:eastAsia="es-CL"/>
            </w:rPr>
          </w:pPr>
          <w:hyperlink w:anchor="_Toc80106230" w:history="1">
            <w:r w:rsidR="00EC4D5E" w:rsidRPr="00EE61CD">
              <w:rPr>
                <w:rStyle w:val="Hipervnculo"/>
                <w:noProof/>
              </w:rPr>
              <w:t>1.1.</w:t>
            </w:r>
            <w:r w:rsidR="00EC4D5E">
              <w:rPr>
                <w:rFonts w:asciiTheme="minorHAnsi" w:eastAsiaTheme="minorEastAsia" w:hAnsiTheme="minorHAnsi" w:cstheme="minorBidi"/>
                <w:b w:val="0"/>
                <w:bCs w:val="0"/>
                <w:noProof/>
                <w:lang w:val="es-CL" w:eastAsia="es-CL"/>
              </w:rPr>
              <w:tab/>
            </w:r>
            <w:r w:rsidR="00EC4D5E" w:rsidRPr="00EE61CD">
              <w:rPr>
                <w:rStyle w:val="Hipervnculo"/>
                <w:noProof/>
              </w:rPr>
              <w:t>¿Qué es?</w:t>
            </w:r>
            <w:r w:rsidR="00EC4D5E">
              <w:rPr>
                <w:noProof/>
                <w:webHidden/>
              </w:rPr>
              <w:tab/>
            </w:r>
            <w:r w:rsidR="00EC4D5E">
              <w:rPr>
                <w:noProof/>
                <w:webHidden/>
              </w:rPr>
              <w:fldChar w:fldCharType="begin"/>
            </w:r>
            <w:r w:rsidR="00EC4D5E">
              <w:rPr>
                <w:noProof/>
                <w:webHidden/>
              </w:rPr>
              <w:instrText xml:space="preserve"> PAGEREF _Toc80106230 \h </w:instrText>
            </w:r>
            <w:r w:rsidR="00EC4D5E">
              <w:rPr>
                <w:noProof/>
                <w:webHidden/>
              </w:rPr>
            </w:r>
            <w:r w:rsidR="00EC4D5E">
              <w:rPr>
                <w:noProof/>
                <w:webHidden/>
              </w:rPr>
              <w:fldChar w:fldCharType="separate"/>
            </w:r>
            <w:r w:rsidR="005F141F">
              <w:rPr>
                <w:noProof/>
                <w:webHidden/>
              </w:rPr>
              <w:t>3</w:t>
            </w:r>
            <w:r w:rsidR="00EC4D5E">
              <w:rPr>
                <w:noProof/>
                <w:webHidden/>
              </w:rPr>
              <w:fldChar w:fldCharType="end"/>
            </w:r>
          </w:hyperlink>
        </w:p>
        <w:p w14:paraId="42247056" w14:textId="7A7428DA" w:rsidR="00EC4D5E" w:rsidRDefault="00210A9C">
          <w:pPr>
            <w:pStyle w:val="TDC2"/>
            <w:rPr>
              <w:rFonts w:asciiTheme="minorHAnsi" w:eastAsiaTheme="minorEastAsia" w:hAnsiTheme="minorHAnsi" w:cstheme="minorBidi"/>
              <w:b w:val="0"/>
              <w:bCs w:val="0"/>
              <w:noProof/>
              <w:lang w:val="es-CL" w:eastAsia="es-CL"/>
            </w:rPr>
          </w:pPr>
          <w:hyperlink w:anchor="_Toc80106231" w:history="1">
            <w:r w:rsidR="00EC4D5E" w:rsidRPr="00EE61CD">
              <w:rPr>
                <w:rStyle w:val="Hipervnculo"/>
                <w:noProof/>
              </w:rPr>
              <w:t>1.2.</w:t>
            </w:r>
            <w:r w:rsidR="00EC4D5E">
              <w:rPr>
                <w:rFonts w:asciiTheme="minorHAnsi" w:eastAsiaTheme="minorEastAsia" w:hAnsiTheme="minorHAnsi" w:cstheme="minorBidi"/>
                <w:b w:val="0"/>
                <w:bCs w:val="0"/>
                <w:noProof/>
                <w:lang w:val="es-CL" w:eastAsia="es-CL"/>
              </w:rPr>
              <w:tab/>
            </w:r>
            <w:r w:rsidR="00EC4D5E" w:rsidRPr="00EE61CD">
              <w:rPr>
                <w:rStyle w:val="Hipervnculo"/>
                <w:noProof/>
              </w:rPr>
              <w:t>¿A quiénes está dirigido?</w:t>
            </w:r>
            <w:r w:rsidR="00EC4D5E">
              <w:rPr>
                <w:noProof/>
                <w:webHidden/>
              </w:rPr>
              <w:tab/>
            </w:r>
            <w:r w:rsidR="00EC4D5E">
              <w:rPr>
                <w:noProof/>
                <w:webHidden/>
              </w:rPr>
              <w:fldChar w:fldCharType="begin"/>
            </w:r>
            <w:r w:rsidR="00EC4D5E">
              <w:rPr>
                <w:noProof/>
                <w:webHidden/>
              </w:rPr>
              <w:instrText xml:space="preserve"> PAGEREF _Toc80106231 \h </w:instrText>
            </w:r>
            <w:r w:rsidR="00EC4D5E">
              <w:rPr>
                <w:noProof/>
                <w:webHidden/>
              </w:rPr>
            </w:r>
            <w:r w:rsidR="00EC4D5E">
              <w:rPr>
                <w:noProof/>
                <w:webHidden/>
              </w:rPr>
              <w:fldChar w:fldCharType="separate"/>
            </w:r>
            <w:r w:rsidR="005F141F">
              <w:rPr>
                <w:noProof/>
                <w:webHidden/>
              </w:rPr>
              <w:t>3</w:t>
            </w:r>
            <w:r w:rsidR="00EC4D5E">
              <w:rPr>
                <w:noProof/>
                <w:webHidden/>
              </w:rPr>
              <w:fldChar w:fldCharType="end"/>
            </w:r>
          </w:hyperlink>
        </w:p>
        <w:p w14:paraId="0AF67D6B" w14:textId="003B2888" w:rsidR="00EC4D5E" w:rsidRDefault="00210A9C">
          <w:pPr>
            <w:pStyle w:val="TDC2"/>
            <w:rPr>
              <w:rFonts w:asciiTheme="minorHAnsi" w:eastAsiaTheme="minorEastAsia" w:hAnsiTheme="minorHAnsi" w:cstheme="minorBidi"/>
              <w:b w:val="0"/>
              <w:bCs w:val="0"/>
              <w:noProof/>
              <w:lang w:val="es-CL" w:eastAsia="es-CL"/>
            </w:rPr>
          </w:pPr>
          <w:hyperlink w:anchor="_Toc80106232" w:history="1">
            <w:r w:rsidR="00EC4D5E" w:rsidRPr="00EE61CD">
              <w:rPr>
                <w:rStyle w:val="Hipervnculo"/>
                <w:noProof/>
              </w:rPr>
              <w:t>1.3.</w:t>
            </w:r>
            <w:r w:rsidR="00EC4D5E">
              <w:rPr>
                <w:rFonts w:asciiTheme="minorHAnsi" w:eastAsiaTheme="minorEastAsia" w:hAnsiTheme="minorHAnsi" w:cstheme="minorBidi"/>
                <w:b w:val="0"/>
                <w:bCs w:val="0"/>
                <w:noProof/>
                <w:lang w:val="es-CL" w:eastAsia="es-CL"/>
              </w:rPr>
              <w:tab/>
            </w:r>
            <w:r w:rsidR="00EC4D5E" w:rsidRPr="00EE61CD">
              <w:rPr>
                <w:rStyle w:val="Hipervnculo"/>
                <w:noProof/>
              </w:rPr>
              <w:t>¿Quiénes no pueden participar?</w:t>
            </w:r>
            <w:r w:rsidR="00EC4D5E">
              <w:rPr>
                <w:noProof/>
                <w:webHidden/>
              </w:rPr>
              <w:tab/>
            </w:r>
            <w:r w:rsidR="00EC4D5E">
              <w:rPr>
                <w:noProof/>
                <w:webHidden/>
              </w:rPr>
              <w:fldChar w:fldCharType="begin"/>
            </w:r>
            <w:r w:rsidR="00EC4D5E">
              <w:rPr>
                <w:noProof/>
                <w:webHidden/>
              </w:rPr>
              <w:instrText xml:space="preserve"> PAGEREF _Toc80106232 \h </w:instrText>
            </w:r>
            <w:r w:rsidR="00EC4D5E">
              <w:rPr>
                <w:noProof/>
                <w:webHidden/>
              </w:rPr>
            </w:r>
            <w:r w:rsidR="00EC4D5E">
              <w:rPr>
                <w:noProof/>
                <w:webHidden/>
              </w:rPr>
              <w:fldChar w:fldCharType="separate"/>
            </w:r>
            <w:r w:rsidR="005F141F">
              <w:rPr>
                <w:noProof/>
                <w:webHidden/>
              </w:rPr>
              <w:t>4</w:t>
            </w:r>
            <w:r w:rsidR="00EC4D5E">
              <w:rPr>
                <w:noProof/>
                <w:webHidden/>
              </w:rPr>
              <w:fldChar w:fldCharType="end"/>
            </w:r>
          </w:hyperlink>
        </w:p>
        <w:p w14:paraId="2D36341C" w14:textId="10BE0BF2" w:rsidR="00EC4D5E" w:rsidRDefault="00210A9C">
          <w:pPr>
            <w:pStyle w:val="TDC2"/>
            <w:rPr>
              <w:rFonts w:asciiTheme="minorHAnsi" w:eastAsiaTheme="minorEastAsia" w:hAnsiTheme="minorHAnsi" w:cstheme="minorBidi"/>
              <w:b w:val="0"/>
              <w:bCs w:val="0"/>
              <w:noProof/>
              <w:lang w:val="es-CL" w:eastAsia="es-CL"/>
            </w:rPr>
          </w:pPr>
          <w:hyperlink w:anchor="_Toc80106233" w:history="1">
            <w:r w:rsidR="00EC4D5E" w:rsidRPr="00EE61CD">
              <w:rPr>
                <w:rStyle w:val="Hipervnculo"/>
                <w:rFonts w:eastAsia="Arial Unicode MS"/>
                <w:noProof/>
              </w:rPr>
              <w:t>1.4.</w:t>
            </w:r>
            <w:r w:rsidR="00EC4D5E">
              <w:rPr>
                <w:rFonts w:asciiTheme="minorHAnsi" w:eastAsiaTheme="minorEastAsia" w:hAnsiTheme="minorHAnsi" w:cstheme="minorBidi"/>
                <w:b w:val="0"/>
                <w:bCs w:val="0"/>
                <w:noProof/>
                <w:lang w:val="es-CL" w:eastAsia="es-CL"/>
              </w:rPr>
              <w:tab/>
            </w:r>
            <w:r w:rsidR="00EC4D5E" w:rsidRPr="00EE61CD">
              <w:rPr>
                <w:rStyle w:val="Hipervnculo"/>
                <w:noProof/>
              </w:rPr>
              <w:t>Focalización de la convocatoria.</w:t>
            </w:r>
            <w:r w:rsidR="00EC4D5E">
              <w:rPr>
                <w:noProof/>
                <w:webHidden/>
              </w:rPr>
              <w:tab/>
            </w:r>
            <w:r w:rsidR="00EC4D5E">
              <w:rPr>
                <w:noProof/>
                <w:webHidden/>
              </w:rPr>
              <w:fldChar w:fldCharType="begin"/>
            </w:r>
            <w:r w:rsidR="00EC4D5E">
              <w:rPr>
                <w:noProof/>
                <w:webHidden/>
              </w:rPr>
              <w:instrText xml:space="preserve"> PAGEREF _Toc80106233 \h </w:instrText>
            </w:r>
            <w:r w:rsidR="00EC4D5E">
              <w:rPr>
                <w:noProof/>
                <w:webHidden/>
              </w:rPr>
            </w:r>
            <w:r w:rsidR="00EC4D5E">
              <w:rPr>
                <w:noProof/>
                <w:webHidden/>
              </w:rPr>
              <w:fldChar w:fldCharType="separate"/>
            </w:r>
            <w:r w:rsidR="005F141F">
              <w:rPr>
                <w:noProof/>
                <w:webHidden/>
              </w:rPr>
              <w:t>5</w:t>
            </w:r>
            <w:r w:rsidR="00EC4D5E">
              <w:rPr>
                <w:noProof/>
                <w:webHidden/>
              </w:rPr>
              <w:fldChar w:fldCharType="end"/>
            </w:r>
          </w:hyperlink>
        </w:p>
        <w:p w14:paraId="1379DF88" w14:textId="67B479B5" w:rsidR="00EC4D5E" w:rsidRDefault="00210A9C">
          <w:pPr>
            <w:pStyle w:val="TDC2"/>
            <w:rPr>
              <w:rFonts w:asciiTheme="minorHAnsi" w:eastAsiaTheme="minorEastAsia" w:hAnsiTheme="minorHAnsi" w:cstheme="minorBidi"/>
              <w:b w:val="0"/>
              <w:bCs w:val="0"/>
              <w:noProof/>
              <w:lang w:val="es-CL" w:eastAsia="es-CL"/>
            </w:rPr>
          </w:pPr>
          <w:hyperlink w:anchor="_Toc80106234" w:history="1">
            <w:r w:rsidR="00EC4D5E" w:rsidRPr="00EE61CD">
              <w:rPr>
                <w:rStyle w:val="Hipervnculo"/>
                <w:rFonts w:eastAsia="Arial Unicode MS" w:cs="Arial"/>
                <w:noProof/>
              </w:rPr>
              <w:t>1.5.</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cs="Arial"/>
                <w:noProof/>
              </w:rPr>
              <w:t xml:space="preserve">Requisitos de la </w:t>
            </w:r>
            <w:r w:rsidR="00EC4D5E" w:rsidRPr="00EE61CD">
              <w:rPr>
                <w:rStyle w:val="Hipervnculo"/>
                <w:noProof/>
              </w:rPr>
              <w:t>convocatoria</w:t>
            </w:r>
            <w:r w:rsidR="00EC4D5E" w:rsidRPr="00EE61CD">
              <w:rPr>
                <w:rStyle w:val="Hipervnculo"/>
                <w:rFonts w:eastAsia="Arial Unicode MS" w:cs="Arial"/>
                <w:noProof/>
              </w:rPr>
              <w:t>.</w:t>
            </w:r>
            <w:r w:rsidR="00EC4D5E">
              <w:rPr>
                <w:noProof/>
                <w:webHidden/>
              </w:rPr>
              <w:tab/>
            </w:r>
            <w:r w:rsidR="00EC4D5E">
              <w:rPr>
                <w:noProof/>
                <w:webHidden/>
              </w:rPr>
              <w:fldChar w:fldCharType="begin"/>
            </w:r>
            <w:r w:rsidR="00EC4D5E">
              <w:rPr>
                <w:noProof/>
                <w:webHidden/>
              </w:rPr>
              <w:instrText xml:space="preserve"> PAGEREF _Toc80106234 \h </w:instrText>
            </w:r>
            <w:r w:rsidR="00EC4D5E">
              <w:rPr>
                <w:noProof/>
                <w:webHidden/>
              </w:rPr>
            </w:r>
            <w:r w:rsidR="00EC4D5E">
              <w:rPr>
                <w:noProof/>
                <w:webHidden/>
              </w:rPr>
              <w:fldChar w:fldCharType="separate"/>
            </w:r>
            <w:r w:rsidR="005F141F">
              <w:rPr>
                <w:noProof/>
                <w:webHidden/>
              </w:rPr>
              <w:t>5</w:t>
            </w:r>
            <w:r w:rsidR="00EC4D5E">
              <w:rPr>
                <w:noProof/>
                <w:webHidden/>
              </w:rPr>
              <w:fldChar w:fldCharType="end"/>
            </w:r>
          </w:hyperlink>
        </w:p>
        <w:p w14:paraId="45811137" w14:textId="5ACEF60F" w:rsidR="00EC4D5E" w:rsidRDefault="00210A9C">
          <w:pPr>
            <w:pStyle w:val="TDC2"/>
            <w:rPr>
              <w:rFonts w:asciiTheme="minorHAnsi" w:eastAsiaTheme="minorEastAsia" w:hAnsiTheme="minorHAnsi" w:cstheme="minorBidi"/>
              <w:b w:val="0"/>
              <w:bCs w:val="0"/>
              <w:noProof/>
              <w:lang w:val="es-CL" w:eastAsia="es-CL"/>
            </w:rPr>
          </w:pPr>
          <w:hyperlink w:anchor="_Toc80106235" w:history="1">
            <w:r w:rsidR="00EC4D5E" w:rsidRPr="00EE61CD">
              <w:rPr>
                <w:rStyle w:val="Hipervnculo"/>
                <w:rFonts w:eastAsia="Arial Unicode MS" w:cs="Arial"/>
                <w:noProof/>
                <w:lang w:val="es-CL"/>
              </w:rPr>
              <w:t>1.6</w:t>
            </w:r>
            <w:r w:rsidR="00EC4D5E" w:rsidRPr="00EE61CD">
              <w:rPr>
                <w:rStyle w:val="Hipervnculo"/>
                <w:rFonts w:eastAsia="Arial Unicode MS"/>
                <w:noProof/>
              </w:rPr>
              <w:t xml:space="preserve"> ¿Qué financia?</w:t>
            </w:r>
            <w:r w:rsidR="00EC4D5E">
              <w:rPr>
                <w:noProof/>
                <w:webHidden/>
              </w:rPr>
              <w:tab/>
            </w:r>
            <w:r w:rsidR="00EC4D5E">
              <w:rPr>
                <w:noProof/>
                <w:webHidden/>
              </w:rPr>
              <w:fldChar w:fldCharType="begin"/>
            </w:r>
            <w:r w:rsidR="00EC4D5E">
              <w:rPr>
                <w:noProof/>
                <w:webHidden/>
              </w:rPr>
              <w:instrText xml:space="preserve"> PAGEREF _Toc80106235 \h </w:instrText>
            </w:r>
            <w:r w:rsidR="00EC4D5E">
              <w:rPr>
                <w:noProof/>
                <w:webHidden/>
              </w:rPr>
            </w:r>
            <w:r w:rsidR="00EC4D5E">
              <w:rPr>
                <w:noProof/>
                <w:webHidden/>
              </w:rPr>
              <w:fldChar w:fldCharType="separate"/>
            </w:r>
            <w:r w:rsidR="005F141F">
              <w:rPr>
                <w:noProof/>
                <w:webHidden/>
              </w:rPr>
              <w:t>8</w:t>
            </w:r>
            <w:r w:rsidR="00EC4D5E">
              <w:rPr>
                <w:noProof/>
                <w:webHidden/>
              </w:rPr>
              <w:fldChar w:fldCharType="end"/>
            </w:r>
          </w:hyperlink>
        </w:p>
        <w:p w14:paraId="037E364A" w14:textId="517DCB80" w:rsidR="00EC4D5E" w:rsidRDefault="00210A9C">
          <w:pPr>
            <w:pStyle w:val="TDC2"/>
            <w:rPr>
              <w:rFonts w:asciiTheme="minorHAnsi" w:eastAsiaTheme="minorEastAsia" w:hAnsiTheme="minorHAnsi" w:cstheme="minorBidi"/>
              <w:b w:val="0"/>
              <w:bCs w:val="0"/>
              <w:noProof/>
              <w:lang w:val="es-CL" w:eastAsia="es-CL"/>
            </w:rPr>
          </w:pPr>
          <w:hyperlink w:anchor="_Toc80106236" w:history="1">
            <w:r w:rsidR="00EC4D5E" w:rsidRPr="00EE61CD">
              <w:rPr>
                <w:rStyle w:val="Hipervnculo"/>
                <w:rFonts w:eastAsia="Arial Unicode MS" w:cs="Arial"/>
                <w:noProof/>
                <w:lang w:val="es-CL"/>
              </w:rPr>
              <w:t xml:space="preserve">1.7 </w:t>
            </w:r>
            <w:r w:rsidR="00EC4D5E" w:rsidRPr="00EE61CD">
              <w:rPr>
                <w:rStyle w:val="Hipervnculo"/>
                <w:noProof/>
                <w:lang w:val="es-CL"/>
              </w:rPr>
              <w:t>¿Qué NO financia este Instrumento?</w:t>
            </w:r>
            <w:r w:rsidR="00EC4D5E">
              <w:rPr>
                <w:noProof/>
                <w:webHidden/>
              </w:rPr>
              <w:tab/>
            </w:r>
            <w:r w:rsidR="00EC4D5E">
              <w:rPr>
                <w:noProof/>
                <w:webHidden/>
              </w:rPr>
              <w:fldChar w:fldCharType="begin"/>
            </w:r>
            <w:r w:rsidR="00EC4D5E">
              <w:rPr>
                <w:noProof/>
                <w:webHidden/>
              </w:rPr>
              <w:instrText xml:space="preserve"> PAGEREF _Toc80106236 \h </w:instrText>
            </w:r>
            <w:r w:rsidR="00EC4D5E">
              <w:rPr>
                <w:noProof/>
                <w:webHidden/>
              </w:rPr>
            </w:r>
            <w:r w:rsidR="00EC4D5E">
              <w:rPr>
                <w:noProof/>
                <w:webHidden/>
              </w:rPr>
              <w:fldChar w:fldCharType="separate"/>
            </w:r>
            <w:r w:rsidR="005F141F">
              <w:rPr>
                <w:noProof/>
                <w:webHidden/>
              </w:rPr>
              <w:t>9</w:t>
            </w:r>
            <w:r w:rsidR="00EC4D5E">
              <w:rPr>
                <w:noProof/>
                <w:webHidden/>
              </w:rPr>
              <w:fldChar w:fldCharType="end"/>
            </w:r>
          </w:hyperlink>
        </w:p>
        <w:p w14:paraId="1BF5570D" w14:textId="069BA5C4" w:rsidR="00EC4D5E" w:rsidRDefault="00210A9C">
          <w:pPr>
            <w:pStyle w:val="TDC2"/>
            <w:rPr>
              <w:rFonts w:asciiTheme="minorHAnsi" w:eastAsiaTheme="minorEastAsia" w:hAnsiTheme="minorHAnsi" w:cstheme="minorBidi"/>
              <w:b w:val="0"/>
              <w:bCs w:val="0"/>
              <w:noProof/>
              <w:lang w:val="es-CL" w:eastAsia="es-CL"/>
            </w:rPr>
          </w:pPr>
          <w:hyperlink w:anchor="_Toc80106237" w:history="1">
            <w:r w:rsidR="00EC4D5E" w:rsidRPr="00EE61CD">
              <w:rPr>
                <w:rStyle w:val="Hipervnculo"/>
                <w:noProof/>
              </w:rPr>
              <w:t>2.</w:t>
            </w:r>
            <w:r w:rsidR="00EC4D5E">
              <w:rPr>
                <w:rFonts w:asciiTheme="minorHAnsi" w:eastAsiaTheme="minorEastAsia" w:hAnsiTheme="minorHAnsi" w:cstheme="minorBidi"/>
                <w:b w:val="0"/>
                <w:bCs w:val="0"/>
                <w:noProof/>
                <w:lang w:val="es-CL" w:eastAsia="es-CL"/>
              </w:rPr>
              <w:tab/>
            </w:r>
            <w:r w:rsidR="00EC4D5E" w:rsidRPr="00EE61CD">
              <w:rPr>
                <w:rStyle w:val="Hipervnculo"/>
                <w:noProof/>
              </w:rPr>
              <w:t>POSTULACIÓN</w:t>
            </w:r>
            <w:r w:rsidR="00EC4D5E">
              <w:rPr>
                <w:noProof/>
                <w:webHidden/>
              </w:rPr>
              <w:tab/>
            </w:r>
            <w:r w:rsidR="00EC4D5E">
              <w:rPr>
                <w:noProof/>
                <w:webHidden/>
              </w:rPr>
              <w:fldChar w:fldCharType="begin"/>
            </w:r>
            <w:r w:rsidR="00EC4D5E">
              <w:rPr>
                <w:noProof/>
                <w:webHidden/>
              </w:rPr>
              <w:instrText xml:space="preserve"> PAGEREF _Toc80106237 \h </w:instrText>
            </w:r>
            <w:r w:rsidR="00EC4D5E">
              <w:rPr>
                <w:noProof/>
                <w:webHidden/>
              </w:rPr>
            </w:r>
            <w:r w:rsidR="00EC4D5E">
              <w:rPr>
                <w:noProof/>
                <w:webHidden/>
              </w:rPr>
              <w:fldChar w:fldCharType="separate"/>
            </w:r>
            <w:r w:rsidR="005F141F">
              <w:rPr>
                <w:noProof/>
                <w:webHidden/>
              </w:rPr>
              <w:t>10</w:t>
            </w:r>
            <w:r w:rsidR="00EC4D5E">
              <w:rPr>
                <w:noProof/>
                <w:webHidden/>
              </w:rPr>
              <w:fldChar w:fldCharType="end"/>
            </w:r>
          </w:hyperlink>
        </w:p>
        <w:p w14:paraId="2E1960F8" w14:textId="6997591C" w:rsidR="00EC4D5E" w:rsidRDefault="00210A9C">
          <w:pPr>
            <w:pStyle w:val="TDC2"/>
            <w:rPr>
              <w:rFonts w:asciiTheme="minorHAnsi" w:eastAsiaTheme="minorEastAsia" w:hAnsiTheme="minorHAnsi" w:cstheme="minorBidi"/>
              <w:b w:val="0"/>
              <w:bCs w:val="0"/>
              <w:noProof/>
              <w:lang w:val="es-CL" w:eastAsia="es-CL"/>
            </w:rPr>
          </w:pPr>
          <w:hyperlink w:anchor="_Toc80106238" w:history="1">
            <w:r w:rsidR="00EC4D5E" w:rsidRPr="00EE61CD">
              <w:rPr>
                <w:rStyle w:val="Hipervnculo"/>
                <w:noProof/>
                <w:lang w:val="es-CL"/>
              </w:rPr>
              <w:t>2.1.</w:t>
            </w:r>
            <w:r w:rsidR="00EC4D5E">
              <w:rPr>
                <w:rFonts w:asciiTheme="minorHAnsi" w:eastAsiaTheme="minorEastAsia" w:hAnsiTheme="minorHAnsi" w:cstheme="minorBidi"/>
                <w:b w:val="0"/>
                <w:bCs w:val="0"/>
                <w:noProof/>
                <w:lang w:val="es-CL" w:eastAsia="es-CL"/>
              </w:rPr>
              <w:tab/>
            </w:r>
            <w:r w:rsidR="00EC4D5E" w:rsidRPr="00EE61CD">
              <w:rPr>
                <w:rStyle w:val="Hipervnculo"/>
                <w:noProof/>
                <w:lang w:val="es-CL"/>
              </w:rPr>
              <w:t>Plazos de postulación</w:t>
            </w:r>
            <w:r w:rsidR="00EC4D5E">
              <w:rPr>
                <w:noProof/>
                <w:webHidden/>
              </w:rPr>
              <w:tab/>
            </w:r>
            <w:r w:rsidR="00EC4D5E">
              <w:rPr>
                <w:noProof/>
                <w:webHidden/>
              </w:rPr>
              <w:fldChar w:fldCharType="begin"/>
            </w:r>
            <w:r w:rsidR="00EC4D5E">
              <w:rPr>
                <w:noProof/>
                <w:webHidden/>
              </w:rPr>
              <w:instrText xml:space="preserve"> PAGEREF _Toc80106238 \h </w:instrText>
            </w:r>
            <w:r w:rsidR="00EC4D5E">
              <w:rPr>
                <w:noProof/>
                <w:webHidden/>
              </w:rPr>
            </w:r>
            <w:r w:rsidR="00EC4D5E">
              <w:rPr>
                <w:noProof/>
                <w:webHidden/>
              </w:rPr>
              <w:fldChar w:fldCharType="separate"/>
            </w:r>
            <w:r w:rsidR="005F141F">
              <w:rPr>
                <w:noProof/>
                <w:webHidden/>
              </w:rPr>
              <w:t>10</w:t>
            </w:r>
            <w:r w:rsidR="00EC4D5E">
              <w:rPr>
                <w:noProof/>
                <w:webHidden/>
              </w:rPr>
              <w:fldChar w:fldCharType="end"/>
            </w:r>
          </w:hyperlink>
        </w:p>
        <w:p w14:paraId="1EA9DC5E" w14:textId="0517702D" w:rsidR="00EC4D5E" w:rsidRDefault="00210A9C">
          <w:pPr>
            <w:pStyle w:val="TDC2"/>
            <w:rPr>
              <w:rFonts w:asciiTheme="minorHAnsi" w:eastAsiaTheme="minorEastAsia" w:hAnsiTheme="minorHAnsi" w:cstheme="minorBidi"/>
              <w:b w:val="0"/>
              <w:bCs w:val="0"/>
              <w:noProof/>
              <w:lang w:val="es-CL" w:eastAsia="es-CL"/>
            </w:rPr>
          </w:pPr>
          <w:hyperlink w:anchor="_Toc80106239" w:history="1">
            <w:r w:rsidR="00EC4D5E" w:rsidRPr="00EE61CD">
              <w:rPr>
                <w:rStyle w:val="Hipervnculo"/>
                <w:noProof/>
                <w:lang w:val="es-CL"/>
              </w:rPr>
              <w:t>2.2.</w:t>
            </w:r>
            <w:r w:rsidR="00EC4D5E">
              <w:rPr>
                <w:rFonts w:asciiTheme="minorHAnsi" w:eastAsiaTheme="minorEastAsia" w:hAnsiTheme="minorHAnsi" w:cstheme="minorBidi"/>
                <w:b w:val="0"/>
                <w:bCs w:val="0"/>
                <w:noProof/>
                <w:lang w:val="es-CL" w:eastAsia="es-CL"/>
              </w:rPr>
              <w:tab/>
            </w:r>
            <w:r w:rsidR="00EC4D5E" w:rsidRPr="00EE61CD">
              <w:rPr>
                <w:rStyle w:val="Hipervnculo"/>
                <w:noProof/>
                <w:lang w:val="es-CL"/>
              </w:rPr>
              <w:t>Pasos para postular</w:t>
            </w:r>
            <w:r w:rsidR="00EC4D5E">
              <w:rPr>
                <w:noProof/>
                <w:webHidden/>
              </w:rPr>
              <w:tab/>
            </w:r>
            <w:r w:rsidR="00EC4D5E">
              <w:rPr>
                <w:noProof/>
                <w:webHidden/>
              </w:rPr>
              <w:fldChar w:fldCharType="begin"/>
            </w:r>
            <w:r w:rsidR="00EC4D5E">
              <w:rPr>
                <w:noProof/>
                <w:webHidden/>
              </w:rPr>
              <w:instrText xml:space="preserve"> PAGEREF _Toc80106239 \h </w:instrText>
            </w:r>
            <w:r w:rsidR="00EC4D5E">
              <w:rPr>
                <w:noProof/>
                <w:webHidden/>
              </w:rPr>
            </w:r>
            <w:r w:rsidR="00EC4D5E">
              <w:rPr>
                <w:noProof/>
                <w:webHidden/>
              </w:rPr>
              <w:fldChar w:fldCharType="separate"/>
            </w:r>
            <w:r w:rsidR="005F141F">
              <w:rPr>
                <w:noProof/>
                <w:webHidden/>
              </w:rPr>
              <w:t>11</w:t>
            </w:r>
            <w:r w:rsidR="00EC4D5E">
              <w:rPr>
                <w:noProof/>
                <w:webHidden/>
              </w:rPr>
              <w:fldChar w:fldCharType="end"/>
            </w:r>
          </w:hyperlink>
        </w:p>
        <w:p w14:paraId="7577C68E" w14:textId="334CD3FA" w:rsidR="00EC4D5E" w:rsidRDefault="00210A9C">
          <w:pPr>
            <w:pStyle w:val="TDC2"/>
            <w:rPr>
              <w:rFonts w:asciiTheme="minorHAnsi" w:eastAsiaTheme="minorEastAsia" w:hAnsiTheme="minorHAnsi" w:cstheme="minorBidi"/>
              <w:b w:val="0"/>
              <w:bCs w:val="0"/>
              <w:noProof/>
              <w:lang w:val="es-CL" w:eastAsia="es-CL"/>
            </w:rPr>
          </w:pPr>
          <w:hyperlink w:anchor="_Toc80106240" w:history="1">
            <w:r w:rsidR="00EC4D5E" w:rsidRPr="00EE61CD">
              <w:rPr>
                <w:rStyle w:val="Hipervnculo"/>
                <w:noProof/>
                <w:lang w:val="es-CL"/>
              </w:rPr>
              <w:t>2.3.</w:t>
            </w:r>
            <w:r w:rsidR="00EC4D5E">
              <w:rPr>
                <w:rFonts w:asciiTheme="minorHAnsi" w:eastAsiaTheme="minorEastAsia" w:hAnsiTheme="minorHAnsi" w:cstheme="minorBidi"/>
                <w:b w:val="0"/>
                <w:bCs w:val="0"/>
                <w:noProof/>
                <w:lang w:val="es-CL" w:eastAsia="es-CL"/>
              </w:rPr>
              <w:tab/>
            </w:r>
            <w:r w:rsidR="00EC4D5E" w:rsidRPr="00EE61CD">
              <w:rPr>
                <w:rStyle w:val="Hipervnculo"/>
                <w:noProof/>
                <w:lang w:val="es-CL"/>
              </w:rPr>
              <w:t>Apoyo en el proceso de postulación</w:t>
            </w:r>
            <w:r w:rsidR="00EC4D5E">
              <w:rPr>
                <w:noProof/>
                <w:webHidden/>
              </w:rPr>
              <w:tab/>
            </w:r>
            <w:r w:rsidR="00EC4D5E">
              <w:rPr>
                <w:noProof/>
                <w:webHidden/>
              </w:rPr>
              <w:fldChar w:fldCharType="begin"/>
            </w:r>
            <w:r w:rsidR="00EC4D5E">
              <w:rPr>
                <w:noProof/>
                <w:webHidden/>
              </w:rPr>
              <w:instrText xml:space="preserve"> PAGEREF _Toc80106240 \h </w:instrText>
            </w:r>
            <w:r w:rsidR="00EC4D5E">
              <w:rPr>
                <w:noProof/>
                <w:webHidden/>
              </w:rPr>
            </w:r>
            <w:r w:rsidR="00EC4D5E">
              <w:rPr>
                <w:noProof/>
                <w:webHidden/>
              </w:rPr>
              <w:fldChar w:fldCharType="separate"/>
            </w:r>
            <w:r w:rsidR="005F141F">
              <w:rPr>
                <w:noProof/>
                <w:webHidden/>
              </w:rPr>
              <w:t>14</w:t>
            </w:r>
            <w:r w:rsidR="00EC4D5E">
              <w:rPr>
                <w:noProof/>
                <w:webHidden/>
              </w:rPr>
              <w:fldChar w:fldCharType="end"/>
            </w:r>
          </w:hyperlink>
        </w:p>
        <w:p w14:paraId="0F092F93" w14:textId="6009E434" w:rsidR="00EC4D5E" w:rsidRDefault="00210A9C">
          <w:pPr>
            <w:pStyle w:val="TDC2"/>
            <w:rPr>
              <w:rFonts w:asciiTheme="minorHAnsi" w:eastAsiaTheme="minorEastAsia" w:hAnsiTheme="minorHAnsi" w:cstheme="minorBidi"/>
              <w:b w:val="0"/>
              <w:bCs w:val="0"/>
              <w:noProof/>
              <w:lang w:val="es-CL" w:eastAsia="es-CL"/>
            </w:rPr>
          </w:pPr>
          <w:hyperlink w:anchor="_Toc80106241" w:history="1">
            <w:r w:rsidR="00EC4D5E" w:rsidRPr="00EE61CD">
              <w:rPr>
                <w:rStyle w:val="Hipervnculo"/>
                <w:noProof/>
              </w:rPr>
              <w:t>3.</w:t>
            </w:r>
            <w:r w:rsidR="00EC4D5E">
              <w:rPr>
                <w:rFonts w:asciiTheme="minorHAnsi" w:eastAsiaTheme="minorEastAsia" w:hAnsiTheme="minorHAnsi" w:cstheme="minorBidi"/>
                <w:b w:val="0"/>
                <w:bCs w:val="0"/>
                <w:noProof/>
                <w:lang w:val="es-CL" w:eastAsia="es-CL"/>
              </w:rPr>
              <w:tab/>
            </w:r>
            <w:r w:rsidR="00EC4D5E" w:rsidRPr="00EE61CD">
              <w:rPr>
                <w:rStyle w:val="Hipervnculo"/>
                <w:noProof/>
              </w:rPr>
              <w:t>EVALUACIÓN Y SELECCIÓN</w:t>
            </w:r>
            <w:r w:rsidR="00EC4D5E">
              <w:rPr>
                <w:noProof/>
                <w:webHidden/>
              </w:rPr>
              <w:tab/>
            </w:r>
            <w:r w:rsidR="00EC4D5E">
              <w:rPr>
                <w:noProof/>
                <w:webHidden/>
              </w:rPr>
              <w:fldChar w:fldCharType="begin"/>
            </w:r>
            <w:r w:rsidR="00EC4D5E">
              <w:rPr>
                <w:noProof/>
                <w:webHidden/>
              </w:rPr>
              <w:instrText xml:space="preserve"> PAGEREF _Toc80106241 \h </w:instrText>
            </w:r>
            <w:r w:rsidR="00EC4D5E">
              <w:rPr>
                <w:noProof/>
                <w:webHidden/>
              </w:rPr>
            </w:r>
            <w:r w:rsidR="00EC4D5E">
              <w:rPr>
                <w:noProof/>
                <w:webHidden/>
              </w:rPr>
              <w:fldChar w:fldCharType="separate"/>
            </w:r>
            <w:r w:rsidR="005F141F">
              <w:rPr>
                <w:noProof/>
                <w:webHidden/>
              </w:rPr>
              <w:t>14</w:t>
            </w:r>
            <w:r w:rsidR="00EC4D5E">
              <w:rPr>
                <w:noProof/>
                <w:webHidden/>
              </w:rPr>
              <w:fldChar w:fldCharType="end"/>
            </w:r>
          </w:hyperlink>
        </w:p>
        <w:p w14:paraId="6E72C2C9" w14:textId="558B1369" w:rsidR="00EC4D5E" w:rsidRDefault="00210A9C">
          <w:pPr>
            <w:pStyle w:val="TDC2"/>
            <w:rPr>
              <w:rFonts w:asciiTheme="minorHAnsi" w:eastAsiaTheme="minorEastAsia" w:hAnsiTheme="minorHAnsi" w:cstheme="minorBidi"/>
              <w:b w:val="0"/>
              <w:bCs w:val="0"/>
              <w:noProof/>
              <w:lang w:val="es-CL" w:eastAsia="es-CL"/>
            </w:rPr>
          </w:pPr>
          <w:hyperlink w:anchor="_Toc80106242" w:history="1">
            <w:r w:rsidR="00EC4D5E" w:rsidRPr="00EE61CD">
              <w:rPr>
                <w:rStyle w:val="Hipervnculo"/>
                <w:noProof/>
                <w:lang w:val="es-CL"/>
              </w:rPr>
              <w:t>3.1.</w:t>
            </w:r>
            <w:r w:rsidR="00EC4D5E">
              <w:rPr>
                <w:rFonts w:asciiTheme="minorHAnsi" w:eastAsiaTheme="minorEastAsia" w:hAnsiTheme="minorHAnsi" w:cstheme="minorBidi"/>
                <w:b w:val="0"/>
                <w:bCs w:val="0"/>
                <w:noProof/>
                <w:lang w:val="es-CL" w:eastAsia="es-CL"/>
              </w:rPr>
              <w:tab/>
            </w:r>
            <w:r w:rsidR="00EC4D5E" w:rsidRPr="00EE61CD">
              <w:rPr>
                <w:rStyle w:val="Hipervnculo"/>
                <w:noProof/>
                <w:lang w:val="es-CL"/>
              </w:rPr>
              <w:t>Evaluación de admisibilidad automática</w:t>
            </w:r>
            <w:r w:rsidR="00EC4D5E">
              <w:rPr>
                <w:noProof/>
                <w:webHidden/>
              </w:rPr>
              <w:tab/>
            </w:r>
            <w:r w:rsidR="00EC4D5E">
              <w:rPr>
                <w:noProof/>
                <w:webHidden/>
              </w:rPr>
              <w:fldChar w:fldCharType="begin"/>
            </w:r>
            <w:r w:rsidR="00EC4D5E">
              <w:rPr>
                <w:noProof/>
                <w:webHidden/>
              </w:rPr>
              <w:instrText xml:space="preserve"> PAGEREF _Toc80106242 \h </w:instrText>
            </w:r>
            <w:r w:rsidR="00EC4D5E">
              <w:rPr>
                <w:noProof/>
                <w:webHidden/>
              </w:rPr>
            </w:r>
            <w:r w:rsidR="00EC4D5E">
              <w:rPr>
                <w:noProof/>
                <w:webHidden/>
              </w:rPr>
              <w:fldChar w:fldCharType="separate"/>
            </w:r>
            <w:r w:rsidR="005F141F">
              <w:rPr>
                <w:noProof/>
                <w:webHidden/>
              </w:rPr>
              <w:t>14</w:t>
            </w:r>
            <w:r w:rsidR="00EC4D5E">
              <w:rPr>
                <w:noProof/>
                <w:webHidden/>
              </w:rPr>
              <w:fldChar w:fldCharType="end"/>
            </w:r>
          </w:hyperlink>
        </w:p>
        <w:p w14:paraId="43A7958D" w14:textId="3A32FB75" w:rsidR="00EC4D5E" w:rsidRDefault="00210A9C">
          <w:pPr>
            <w:pStyle w:val="TDC2"/>
            <w:rPr>
              <w:rFonts w:asciiTheme="minorHAnsi" w:eastAsiaTheme="minorEastAsia" w:hAnsiTheme="minorHAnsi" w:cstheme="minorBidi"/>
              <w:b w:val="0"/>
              <w:bCs w:val="0"/>
              <w:noProof/>
              <w:lang w:val="es-CL" w:eastAsia="es-CL"/>
            </w:rPr>
          </w:pPr>
          <w:hyperlink w:anchor="_Toc80106243" w:history="1">
            <w:r w:rsidR="00EC4D5E" w:rsidRPr="00EE61CD">
              <w:rPr>
                <w:rStyle w:val="Hipervnculo"/>
                <w:noProof/>
                <w:lang w:val="es-CL"/>
              </w:rPr>
              <w:t>3.2.</w:t>
            </w:r>
            <w:r w:rsidR="00EC4D5E">
              <w:rPr>
                <w:rFonts w:asciiTheme="minorHAnsi" w:eastAsiaTheme="minorEastAsia" w:hAnsiTheme="minorHAnsi" w:cstheme="minorBidi"/>
                <w:b w:val="0"/>
                <w:bCs w:val="0"/>
                <w:noProof/>
                <w:lang w:val="es-CL" w:eastAsia="es-CL"/>
              </w:rPr>
              <w:tab/>
            </w:r>
            <w:r w:rsidR="00EC4D5E" w:rsidRPr="00EE61CD">
              <w:rPr>
                <w:rStyle w:val="Hipervnculo"/>
                <w:noProof/>
                <w:lang w:val="es-CL"/>
              </w:rPr>
              <w:t>Evaluación de admisibilidad manual</w:t>
            </w:r>
            <w:r w:rsidR="00EC4D5E">
              <w:rPr>
                <w:noProof/>
                <w:webHidden/>
              </w:rPr>
              <w:tab/>
            </w:r>
            <w:r w:rsidR="00EC4D5E">
              <w:rPr>
                <w:noProof/>
                <w:webHidden/>
              </w:rPr>
              <w:fldChar w:fldCharType="begin"/>
            </w:r>
            <w:r w:rsidR="00EC4D5E">
              <w:rPr>
                <w:noProof/>
                <w:webHidden/>
              </w:rPr>
              <w:instrText xml:space="preserve"> PAGEREF _Toc80106243 \h </w:instrText>
            </w:r>
            <w:r w:rsidR="00EC4D5E">
              <w:rPr>
                <w:noProof/>
                <w:webHidden/>
              </w:rPr>
            </w:r>
            <w:r w:rsidR="00EC4D5E">
              <w:rPr>
                <w:noProof/>
                <w:webHidden/>
              </w:rPr>
              <w:fldChar w:fldCharType="separate"/>
            </w:r>
            <w:r w:rsidR="005F141F">
              <w:rPr>
                <w:noProof/>
                <w:webHidden/>
              </w:rPr>
              <w:t>14</w:t>
            </w:r>
            <w:r w:rsidR="00EC4D5E">
              <w:rPr>
                <w:noProof/>
                <w:webHidden/>
              </w:rPr>
              <w:fldChar w:fldCharType="end"/>
            </w:r>
          </w:hyperlink>
        </w:p>
        <w:p w14:paraId="0F2117DE" w14:textId="0FD807BC" w:rsidR="00EC4D5E" w:rsidRDefault="00210A9C">
          <w:pPr>
            <w:pStyle w:val="TDC2"/>
            <w:rPr>
              <w:rFonts w:asciiTheme="minorHAnsi" w:eastAsiaTheme="minorEastAsia" w:hAnsiTheme="minorHAnsi" w:cstheme="minorBidi"/>
              <w:b w:val="0"/>
              <w:bCs w:val="0"/>
              <w:noProof/>
              <w:lang w:val="es-CL" w:eastAsia="es-CL"/>
            </w:rPr>
          </w:pPr>
          <w:hyperlink w:anchor="_Toc80106244" w:history="1">
            <w:r w:rsidR="00EC4D5E" w:rsidRPr="00EE61CD">
              <w:rPr>
                <w:rStyle w:val="Hipervnculo"/>
                <w:rFonts w:cs="Arial"/>
                <w:noProof/>
                <w:lang w:val="es-CL"/>
              </w:rPr>
              <w:t>3.3.</w:t>
            </w:r>
            <w:r w:rsidR="00EC4D5E">
              <w:rPr>
                <w:rFonts w:asciiTheme="minorHAnsi" w:eastAsiaTheme="minorEastAsia" w:hAnsiTheme="minorHAnsi" w:cstheme="minorBidi"/>
                <w:b w:val="0"/>
                <w:bCs w:val="0"/>
                <w:noProof/>
                <w:lang w:val="es-CL" w:eastAsia="es-CL"/>
              </w:rPr>
              <w:tab/>
            </w:r>
            <w:r w:rsidR="00EC4D5E" w:rsidRPr="00EE61CD">
              <w:rPr>
                <w:rStyle w:val="Hipervnculo"/>
                <w:rFonts w:cs="Arial"/>
                <w:noProof/>
                <w:lang w:val="es-CL"/>
              </w:rPr>
              <w:t>Test de Preselección</w:t>
            </w:r>
            <w:r w:rsidR="00EC4D5E">
              <w:rPr>
                <w:noProof/>
                <w:webHidden/>
              </w:rPr>
              <w:tab/>
            </w:r>
            <w:r w:rsidR="00EC4D5E">
              <w:rPr>
                <w:noProof/>
                <w:webHidden/>
              </w:rPr>
              <w:fldChar w:fldCharType="begin"/>
            </w:r>
            <w:r w:rsidR="00EC4D5E">
              <w:rPr>
                <w:noProof/>
                <w:webHidden/>
              </w:rPr>
              <w:instrText xml:space="preserve"> PAGEREF _Toc80106244 \h </w:instrText>
            </w:r>
            <w:r w:rsidR="00EC4D5E">
              <w:rPr>
                <w:noProof/>
                <w:webHidden/>
              </w:rPr>
            </w:r>
            <w:r w:rsidR="00EC4D5E">
              <w:rPr>
                <w:noProof/>
                <w:webHidden/>
              </w:rPr>
              <w:fldChar w:fldCharType="separate"/>
            </w:r>
            <w:r w:rsidR="005F141F">
              <w:rPr>
                <w:noProof/>
                <w:webHidden/>
              </w:rPr>
              <w:t>15</w:t>
            </w:r>
            <w:r w:rsidR="00EC4D5E">
              <w:rPr>
                <w:noProof/>
                <w:webHidden/>
              </w:rPr>
              <w:fldChar w:fldCharType="end"/>
            </w:r>
          </w:hyperlink>
        </w:p>
        <w:p w14:paraId="039D6ABB" w14:textId="2FE90AFC" w:rsidR="00EC4D5E" w:rsidRDefault="00210A9C">
          <w:pPr>
            <w:pStyle w:val="TDC2"/>
            <w:rPr>
              <w:rFonts w:asciiTheme="minorHAnsi" w:eastAsiaTheme="minorEastAsia" w:hAnsiTheme="minorHAnsi" w:cstheme="minorBidi"/>
              <w:b w:val="0"/>
              <w:bCs w:val="0"/>
              <w:noProof/>
              <w:lang w:val="es-CL" w:eastAsia="es-CL"/>
            </w:rPr>
          </w:pPr>
          <w:hyperlink w:anchor="_Toc80106245" w:history="1">
            <w:r w:rsidR="00EC4D5E" w:rsidRPr="00EE61CD">
              <w:rPr>
                <w:rStyle w:val="Hipervnculo"/>
                <w:rFonts w:eastAsia="Arial Unicode MS"/>
                <w:noProof/>
              </w:rPr>
              <w:t>3.4.</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noProof/>
              </w:rPr>
              <w:t>Evaluación Técnica</w:t>
            </w:r>
            <w:r w:rsidR="00EC4D5E">
              <w:rPr>
                <w:noProof/>
                <w:webHidden/>
              </w:rPr>
              <w:tab/>
            </w:r>
            <w:r w:rsidR="00EC4D5E">
              <w:rPr>
                <w:noProof/>
                <w:webHidden/>
              </w:rPr>
              <w:fldChar w:fldCharType="begin"/>
            </w:r>
            <w:r w:rsidR="00EC4D5E">
              <w:rPr>
                <w:noProof/>
                <w:webHidden/>
              </w:rPr>
              <w:instrText xml:space="preserve"> PAGEREF _Toc80106245 \h </w:instrText>
            </w:r>
            <w:r w:rsidR="00EC4D5E">
              <w:rPr>
                <w:noProof/>
                <w:webHidden/>
              </w:rPr>
            </w:r>
            <w:r w:rsidR="00EC4D5E">
              <w:rPr>
                <w:noProof/>
                <w:webHidden/>
              </w:rPr>
              <w:fldChar w:fldCharType="separate"/>
            </w:r>
            <w:r w:rsidR="005F141F">
              <w:rPr>
                <w:noProof/>
                <w:webHidden/>
              </w:rPr>
              <w:t>15</w:t>
            </w:r>
            <w:r w:rsidR="00EC4D5E">
              <w:rPr>
                <w:noProof/>
                <w:webHidden/>
              </w:rPr>
              <w:fldChar w:fldCharType="end"/>
            </w:r>
          </w:hyperlink>
        </w:p>
        <w:p w14:paraId="49143B8F" w14:textId="1CF72F5E" w:rsidR="00EC4D5E" w:rsidRDefault="00210A9C">
          <w:pPr>
            <w:pStyle w:val="TDC2"/>
            <w:rPr>
              <w:rFonts w:asciiTheme="minorHAnsi" w:eastAsiaTheme="minorEastAsia" w:hAnsiTheme="minorHAnsi" w:cstheme="minorBidi"/>
              <w:b w:val="0"/>
              <w:bCs w:val="0"/>
              <w:noProof/>
              <w:lang w:val="es-CL" w:eastAsia="es-CL"/>
            </w:rPr>
          </w:pPr>
          <w:hyperlink w:anchor="_Toc80106246" w:history="1">
            <w:r w:rsidR="00EC4D5E" w:rsidRPr="00EE61CD">
              <w:rPr>
                <w:rStyle w:val="Hipervnculo"/>
                <w:rFonts w:eastAsia="Arial Unicode MS"/>
                <w:noProof/>
              </w:rPr>
              <w:t>4.</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noProof/>
              </w:rPr>
              <w:t>FASE DE DESARROLLO</w:t>
            </w:r>
            <w:r w:rsidR="00EC4D5E">
              <w:rPr>
                <w:noProof/>
                <w:webHidden/>
              </w:rPr>
              <w:tab/>
            </w:r>
            <w:r w:rsidR="00EC4D5E">
              <w:rPr>
                <w:noProof/>
                <w:webHidden/>
              </w:rPr>
              <w:fldChar w:fldCharType="begin"/>
            </w:r>
            <w:r w:rsidR="00EC4D5E">
              <w:rPr>
                <w:noProof/>
                <w:webHidden/>
              </w:rPr>
              <w:instrText xml:space="preserve"> PAGEREF _Toc80106246 \h </w:instrText>
            </w:r>
            <w:r w:rsidR="00EC4D5E">
              <w:rPr>
                <w:noProof/>
                <w:webHidden/>
              </w:rPr>
            </w:r>
            <w:r w:rsidR="00EC4D5E">
              <w:rPr>
                <w:noProof/>
                <w:webHidden/>
              </w:rPr>
              <w:fldChar w:fldCharType="separate"/>
            </w:r>
            <w:r w:rsidR="005F141F">
              <w:rPr>
                <w:noProof/>
                <w:webHidden/>
              </w:rPr>
              <w:t>17</w:t>
            </w:r>
            <w:r w:rsidR="00EC4D5E">
              <w:rPr>
                <w:noProof/>
                <w:webHidden/>
              </w:rPr>
              <w:fldChar w:fldCharType="end"/>
            </w:r>
          </w:hyperlink>
        </w:p>
        <w:p w14:paraId="283DBC8F" w14:textId="3D56D6F3" w:rsidR="00EC4D5E" w:rsidRDefault="00210A9C">
          <w:pPr>
            <w:pStyle w:val="TDC2"/>
            <w:rPr>
              <w:rFonts w:asciiTheme="minorHAnsi" w:eastAsiaTheme="minorEastAsia" w:hAnsiTheme="minorHAnsi" w:cstheme="minorBidi"/>
              <w:b w:val="0"/>
              <w:bCs w:val="0"/>
              <w:noProof/>
              <w:lang w:val="es-CL" w:eastAsia="es-CL"/>
            </w:rPr>
          </w:pPr>
          <w:hyperlink w:anchor="_Toc80106247" w:history="1">
            <w:r w:rsidR="00EC4D5E" w:rsidRPr="00EE61CD">
              <w:rPr>
                <w:rStyle w:val="Hipervnculo"/>
                <w:rFonts w:eastAsia="Arial Unicode MS"/>
                <w:noProof/>
              </w:rPr>
              <w:t>4.1</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noProof/>
              </w:rPr>
              <w:t>Formalización</w:t>
            </w:r>
            <w:r w:rsidR="00EC4D5E">
              <w:rPr>
                <w:noProof/>
                <w:webHidden/>
              </w:rPr>
              <w:tab/>
            </w:r>
            <w:r w:rsidR="00EC4D5E">
              <w:rPr>
                <w:noProof/>
                <w:webHidden/>
              </w:rPr>
              <w:fldChar w:fldCharType="begin"/>
            </w:r>
            <w:r w:rsidR="00EC4D5E">
              <w:rPr>
                <w:noProof/>
                <w:webHidden/>
              </w:rPr>
              <w:instrText xml:space="preserve"> PAGEREF _Toc80106247 \h </w:instrText>
            </w:r>
            <w:r w:rsidR="00EC4D5E">
              <w:rPr>
                <w:noProof/>
                <w:webHidden/>
              </w:rPr>
            </w:r>
            <w:r w:rsidR="00EC4D5E">
              <w:rPr>
                <w:noProof/>
                <w:webHidden/>
              </w:rPr>
              <w:fldChar w:fldCharType="separate"/>
            </w:r>
            <w:r w:rsidR="005F141F">
              <w:rPr>
                <w:noProof/>
                <w:webHidden/>
              </w:rPr>
              <w:t>18</w:t>
            </w:r>
            <w:r w:rsidR="00EC4D5E">
              <w:rPr>
                <w:noProof/>
                <w:webHidden/>
              </w:rPr>
              <w:fldChar w:fldCharType="end"/>
            </w:r>
          </w:hyperlink>
        </w:p>
        <w:p w14:paraId="63778B18" w14:textId="39861E3B" w:rsidR="00EC4D5E" w:rsidRDefault="00210A9C">
          <w:pPr>
            <w:pStyle w:val="TDC2"/>
            <w:rPr>
              <w:rFonts w:asciiTheme="minorHAnsi" w:eastAsiaTheme="minorEastAsia" w:hAnsiTheme="minorHAnsi" w:cstheme="minorBidi"/>
              <w:b w:val="0"/>
              <w:bCs w:val="0"/>
              <w:noProof/>
              <w:lang w:val="es-CL" w:eastAsia="es-CL"/>
            </w:rPr>
          </w:pPr>
          <w:hyperlink w:anchor="_Toc80106248" w:history="1">
            <w:r w:rsidR="00EC4D5E" w:rsidRPr="00EE61CD">
              <w:rPr>
                <w:rStyle w:val="Hipervnculo"/>
                <w:rFonts w:eastAsia="Arial Unicode MS"/>
                <w:noProof/>
              </w:rPr>
              <w:t>4.2</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noProof/>
              </w:rPr>
              <w:t>Revisión y Ajustes al Presupuesto.</w:t>
            </w:r>
            <w:r w:rsidR="00EC4D5E">
              <w:rPr>
                <w:noProof/>
                <w:webHidden/>
              </w:rPr>
              <w:tab/>
            </w:r>
            <w:r w:rsidR="00EC4D5E">
              <w:rPr>
                <w:noProof/>
                <w:webHidden/>
              </w:rPr>
              <w:fldChar w:fldCharType="begin"/>
            </w:r>
            <w:r w:rsidR="00EC4D5E">
              <w:rPr>
                <w:noProof/>
                <w:webHidden/>
              </w:rPr>
              <w:instrText xml:space="preserve"> PAGEREF _Toc80106248 \h </w:instrText>
            </w:r>
            <w:r w:rsidR="00EC4D5E">
              <w:rPr>
                <w:noProof/>
                <w:webHidden/>
              </w:rPr>
            </w:r>
            <w:r w:rsidR="00EC4D5E">
              <w:rPr>
                <w:noProof/>
                <w:webHidden/>
              </w:rPr>
              <w:fldChar w:fldCharType="separate"/>
            </w:r>
            <w:r w:rsidR="005F141F">
              <w:rPr>
                <w:noProof/>
                <w:webHidden/>
              </w:rPr>
              <w:t>18</w:t>
            </w:r>
            <w:r w:rsidR="00EC4D5E">
              <w:rPr>
                <w:noProof/>
                <w:webHidden/>
              </w:rPr>
              <w:fldChar w:fldCharType="end"/>
            </w:r>
          </w:hyperlink>
        </w:p>
        <w:p w14:paraId="7C200D0E" w14:textId="36C4175E" w:rsidR="00EC4D5E" w:rsidRDefault="00210A9C">
          <w:pPr>
            <w:pStyle w:val="TDC2"/>
            <w:rPr>
              <w:rFonts w:asciiTheme="minorHAnsi" w:eastAsiaTheme="minorEastAsia" w:hAnsiTheme="minorHAnsi" w:cstheme="minorBidi"/>
              <w:b w:val="0"/>
              <w:bCs w:val="0"/>
              <w:noProof/>
              <w:lang w:val="es-CL" w:eastAsia="es-CL"/>
            </w:rPr>
          </w:pPr>
          <w:hyperlink w:anchor="_Toc80106249" w:history="1">
            <w:r w:rsidR="00EC4D5E" w:rsidRPr="00EE61CD">
              <w:rPr>
                <w:rStyle w:val="Hipervnculo"/>
                <w:rFonts w:eastAsia="Arial Unicode MS"/>
                <w:noProof/>
              </w:rPr>
              <w:t>4.3</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noProof/>
              </w:rPr>
              <w:t>Implementación del Plan de Trabajo</w:t>
            </w:r>
            <w:r w:rsidR="00EC4D5E">
              <w:rPr>
                <w:noProof/>
                <w:webHidden/>
              </w:rPr>
              <w:tab/>
            </w:r>
            <w:r w:rsidR="00EC4D5E">
              <w:rPr>
                <w:noProof/>
                <w:webHidden/>
              </w:rPr>
              <w:fldChar w:fldCharType="begin"/>
            </w:r>
            <w:r w:rsidR="00EC4D5E">
              <w:rPr>
                <w:noProof/>
                <w:webHidden/>
              </w:rPr>
              <w:instrText xml:space="preserve"> PAGEREF _Toc80106249 \h </w:instrText>
            </w:r>
            <w:r w:rsidR="00EC4D5E">
              <w:rPr>
                <w:noProof/>
                <w:webHidden/>
              </w:rPr>
            </w:r>
            <w:r w:rsidR="00EC4D5E">
              <w:rPr>
                <w:noProof/>
                <w:webHidden/>
              </w:rPr>
              <w:fldChar w:fldCharType="separate"/>
            </w:r>
            <w:r w:rsidR="005F141F">
              <w:rPr>
                <w:noProof/>
                <w:webHidden/>
              </w:rPr>
              <w:t>19</w:t>
            </w:r>
            <w:r w:rsidR="00EC4D5E">
              <w:rPr>
                <w:noProof/>
                <w:webHidden/>
              </w:rPr>
              <w:fldChar w:fldCharType="end"/>
            </w:r>
          </w:hyperlink>
        </w:p>
        <w:p w14:paraId="74A1BD28" w14:textId="5F0538FF" w:rsidR="00EC4D5E" w:rsidRDefault="00210A9C">
          <w:pPr>
            <w:pStyle w:val="TDC2"/>
            <w:rPr>
              <w:rFonts w:asciiTheme="minorHAnsi" w:eastAsiaTheme="minorEastAsia" w:hAnsiTheme="minorHAnsi" w:cstheme="minorBidi"/>
              <w:b w:val="0"/>
              <w:bCs w:val="0"/>
              <w:noProof/>
              <w:lang w:val="es-CL" w:eastAsia="es-CL"/>
            </w:rPr>
          </w:pPr>
          <w:hyperlink w:anchor="_Toc80106250" w:history="1">
            <w:r w:rsidR="00EC4D5E" w:rsidRPr="00EE61CD">
              <w:rPr>
                <w:rStyle w:val="Hipervnculo"/>
                <w:rFonts w:eastAsia="Arial Unicode MS" w:cs="Arial"/>
                <w:noProof/>
              </w:rPr>
              <w:t>5.</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noProof/>
              </w:rPr>
              <w:t>TÉRMINO DEL PROYECTO</w:t>
            </w:r>
            <w:r w:rsidR="00EC4D5E">
              <w:rPr>
                <w:noProof/>
                <w:webHidden/>
              </w:rPr>
              <w:tab/>
            </w:r>
            <w:r w:rsidR="00EC4D5E">
              <w:rPr>
                <w:noProof/>
                <w:webHidden/>
              </w:rPr>
              <w:fldChar w:fldCharType="begin"/>
            </w:r>
            <w:r w:rsidR="00EC4D5E">
              <w:rPr>
                <w:noProof/>
                <w:webHidden/>
              </w:rPr>
              <w:instrText xml:space="preserve"> PAGEREF _Toc80106250 \h </w:instrText>
            </w:r>
            <w:r w:rsidR="00EC4D5E">
              <w:rPr>
                <w:noProof/>
                <w:webHidden/>
              </w:rPr>
            </w:r>
            <w:r w:rsidR="00EC4D5E">
              <w:rPr>
                <w:noProof/>
                <w:webHidden/>
              </w:rPr>
              <w:fldChar w:fldCharType="separate"/>
            </w:r>
            <w:r w:rsidR="005F141F">
              <w:rPr>
                <w:noProof/>
                <w:webHidden/>
              </w:rPr>
              <w:t>21</w:t>
            </w:r>
            <w:r w:rsidR="00EC4D5E">
              <w:rPr>
                <w:noProof/>
                <w:webHidden/>
              </w:rPr>
              <w:fldChar w:fldCharType="end"/>
            </w:r>
          </w:hyperlink>
        </w:p>
        <w:p w14:paraId="7BE29719" w14:textId="52DDEF8E" w:rsidR="00EC4D5E" w:rsidRDefault="00210A9C">
          <w:pPr>
            <w:pStyle w:val="TDC2"/>
            <w:rPr>
              <w:rFonts w:asciiTheme="minorHAnsi" w:eastAsiaTheme="minorEastAsia" w:hAnsiTheme="minorHAnsi" w:cstheme="minorBidi"/>
              <w:b w:val="0"/>
              <w:bCs w:val="0"/>
              <w:noProof/>
              <w:lang w:val="es-CL" w:eastAsia="es-CL"/>
            </w:rPr>
          </w:pPr>
          <w:hyperlink w:anchor="_Toc80106251" w:history="1">
            <w:r w:rsidR="00EC4D5E" w:rsidRPr="00EE61CD">
              <w:rPr>
                <w:rStyle w:val="Hipervnculo"/>
                <w:rFonts w:eastAsia="Arial Unicode MS" w:cs="Arial"/>
                <w:noProof/>
              </w:rPr>
              <w:t>6.</w:t>
            </w:r>
            <w:r w:rsidR="00EC4D5E">
              <w:rPr>
                <w:rFonts w:asciiTheme="minorHAnsi" w:eastAsiaTheme="minorEastAsia" w:hAnsiTheme="minorHAnsi" w:cstheme="minorBidi"/>
                <w:b w:val="0"/>
                <w:bCs w:val="0"/>
                <w:noProof/>
                <w:lang w:val="es-CL" w:eastAsia="es-CL"/>
              </w:rPr>
              <w:tab/>
            </w:r>
            <w:r w:rsidR="00EC4D5E" w:rsidRPr="00EE61CD">
              <w:rPr>
                <w:rStyle w:val="Hipervnculo"/>
                <w:rFonts w:eastAsia="Arial Unicode MS"/>
                <w:noProof/>
              </w:rPr>
              <w:t>OTROS</w:t>
            </w:r>
            <w:r w:rsidR="00EC4D5E">
              <w:rPr>
                <w:noProof/>
                <w:webHidden/>
              </w:rPr>
              <w:tab/>
            </w:r>
            <w:r w:rsidR="00EC4D5E">
              <w:rPr>
                <w:noProof/>
                <w:webHidden/>
              </w:rPr>
              <w:fldChar w:fldCharType="begin"/>
            </w:r>
            <w:r w:rsidR="00EC4D5E">
              <w:rPr>
                <w:noProof/>
                <w:webHidden/>
              </w:rPr>
              <w:instrText xml:space="preserve"> PAGEREF _Toc80106251 \h </w:instrText>
            </w:r>
            <w:r w:rsidR="00EC4D5E">
              <w:rPr>
                <w:noProof/>
                <w:webHidden/>
              </w:rPr>
            </w:r>
            <w:r w:rsidR="00EC4D5E">
              <w:rPr>
                <w:noProof/>
                <w:webHidden/>
              </w:rPr>
              <w:fldChar w:fldCharType="separate"/>
            </w:r>
            <w:r w:rsidR="005F141F">
              <w:rPr>
                <w:noProof/>
                <w:webHidden/>
              </w:rPr>
              <w:t>23</w:t>
            </w:r>
            <w:r w:rsidR="00EC4D5E">
              <w:rPr>
                <w:noProof/>
                <w:webHidden/>
              </w:rPr>
              <w:fldChar w:fldCharType="end"/>
            </w:r>
          </w:hyperlink>
        </w:p>
        <w:p w14:paraId="3ECB85C1" w14:textId="42A6C510" w:rsidR="00EC4D5E" w:rsidRDefault="00210A9C">
          <w:pPr>
            <w:pStyle w:val="TDC2"/>
            <w:rPr>
              <w:rFonts w:asciiTheme="minorHAnsi" w:eastAsiaTheme="minorEastAsia" w:hAnsiTheme="minorHAnsi" w:cstheme="minorBidi"/>
              <w:b w:val="0"/>
              <w:bCs w:val="0"/>
              <w:noProof/>
              <w:lang w:val="es-CL" w:eastAsia="es-CL"/>
            </w:rPr>
          </w:pPr>
          <w:hyperlink w:anchor="_Toc80106252" w:history="1">
            <w:r w:rsidR="00EC4D5E" w:rsidRPr="00EE61CD">
              <w:rPr>
                <w:rStyle w:val="Hipervnculo"/>
                <w:noProof/>
              </w:rPr>
              <w:t>ANEXO N° 1. REQUISITOS DE LA CONVOCATORIA</w:t>
            </w:r>
            <w:r w:rsidR="00EC4D5E">
              <w:rPr>
                <w:noProof/>
                <w:webHidden/>
              </w:rPr>
              <w:tab/>
            </w:r>
            <w:r w:rsidR="00EC4D5E">
              <w:rPr>
                <w:noProof/>
                <w:webHidden/>
              </w:rPr>
              <w:fldChar w:fldCharType="begin"/>
            </w:r>
            <w:r w:rsidR="00EC4D5E">
              <w:rPr>
                <w:noProof/>
                <w:webHidden/>
              </w:rPr>
              <w:instrText xml:space="preserve"> PAGEREF _Toc80106252 \h </w:instrText>
            </w:r>
            <w:r w:rsidR="00EC4D5E">
              <w:rPr>
                <w:noProof/>
                <w:webHidden/>
              </w:rPr>
            </w:r>
            <w:r w:rsidR="00EC4D5E">
              <w:rPr>
                <w:noProof/>
                <w:webHidden/>
              </w:rPr>
              <w:fldChar w:fldCharType="separate"/>
            </w:r>
            <w:r w:rsidR="005F141F">
              <w:rPr>
                <w:noProof/>
                <w:webHidden/>
              </w:rPr>
              <w:t>26</w:t>
            </w:r>
            <w:r w:rsidR="00EC4D5E">
              <w:rPr>
                <w:noProof/>
                <w:webHidden/>
              </w:rPr>
              <w:fldChar w:fldCharType="end"/>
            </w:r>
          </w:hyperlink>
        </w:p>
        <w:p w14:paraId="20D717B4" w14:textId="21743377" w:rsidR="00EC4D5E" w:rsidRDefault="00210A9C">
          <w:pPr>
            <w:pStyle w:val="TDC2"/>
            <w:rPr>
              <w:rFonts w:asciiTheme="minorHAnsi" w:eastAsiaTheme="minorEastAsia" w:hAnsiTheme="minorHAnsi" w:cstheme="minorBidi"/>
              <w:b w:val="0"/>
              <w:bCs w:val="0"/>
              <w:noProof/>
              <w:lang w:val="es-CL" w:eastAsia="es-CL"/>
            </w:rPr>
          </w:pPr>
          <w:hyperlink w:anchor="_Toc80106253" w:history="1">
            <w:r w:rsidR="00EC4D5E" w:rsidRPr="00EE61CD">
              <w:rPr>
                <w:rStyle w:val="Hipervnculo"/>
                <w:noProof/>
              </w:rPr>
              <w:t>ANEXO N° 2. ÍTEMS FINANCIABLES</w:t>
            </w:r>
            <w:r w:rsidR="00EC4D5E">
              <w:rPr>
                <w:noProof/>
                <w:webHidden/>
              </w:rPr>
              <w:tab/>
            </w:r>
            <w:r w:rsidR="00EC4D5E">
              <w:rPr>
                <w:noProof/>
                <w:webHidden/>
              </w:rPr>
              <w:fldChar w:fldCharType="begin"/>
            </w:r>
            <w:r w:rsidR="00EC4D5E">
              <w:rPr>
                <w:noProof/>
                <w:webHidden/>
              </w:rPr>
              <w:instrText xml:space="preserve"> PAGEREF _Toc80106253 \h </w:instrText>
            </w:r>
            <w:r w:rsidR="00EC4D5E">
              <w:rPr>
                <w:noProof/>
                <w:webHidden/>
              </w:rPr>
            </w:r>
            <w:r w:rsidR="00EC4D5E">
              <w:rPr>
                <w:noProof/>
                <w:webHidden/>
              </w:rPr>
              <w:fldChar w:fldCharType="separate"/>
            </w:r>
            <w:r w:rsidR="005F141F">
              <w:rPr>
                <w:noProof/>
                <w:webHidden/>
              </w:rPr>
              <w:t>30</w:t>
            </w:r>
            <w:r w:rsidR="00EC4D5E">
              <w:rPr>
                <w:noProof/>
                <w:webHidden/>
              </w:rPr>
              <w:fldChar w:fldCharType="end"/>
            </w:r>
          </w:hyperlink>
        </w:p>
        <w:p w14:paraId="76B51F04" w14:textId="199FD56D" w:rsidR="00EC4D5E" w:rsidRDefault="00210A9C">
          <w:pPr>
            <w:pStyle w:val="TDC2"/>
            <w:rPr>
              <w:rFonts w:asciiTheme="minorHAnsi" w:eastAsiaTheme="minorEastAsia" w:hAnsiTheme="minorHAnsi" w:cstheme="minorBidi"/>
              <w:b w:val="0"/>
              <w:bCs w:val="0"/>
              <w:noProof/>
              <w:lang w:val="es-CL" w:eastAsia="es-CL"/>
            </w:rPr>
          </w:pPr>
          <w:hyperlink w:anchor="_Toc80106254" w:history="1">
            <w:r w:rsidR="00EC4D5E" w:rsidRPr="00EE61CD">
              <w:rPr>
                <w:rStyle w:val="Hipervnculo"/>
                <w:noProof/>
              </w:rPr>
              <w:t>ANEXO N° 3. DECLARACIÓN JURADA SIMPLE PROBIDAD</w:t>
            </w:r>
            <w:r w:rsidR="00EC4D5E">
              <w:rPr>
                <w:noProof/>
                <w:webHidden/>
              </w:rPr>
              <w:tab/>
            </w:r>
            <w:r w:rsidR="00EC4D5E">
              <w:rPr>
                <w:noProof/>
                <w:webHidden/>
              </w:rPr>
              <w:fldChar w:fldCharType="begin"/>
            </w:r>
            <w:r w:rsidR="00EC4D5E">
              <w:rPr>
                <w:noProof/>
                <w:webHidden/>
              </w:rPr>
              <w:instrText xml:space="preserve"> PAGEREF _Toc80106254 \h </w:instrText>
            </w:r>
            <w:r w:rsidR="00EC4D5E">
              <w:rPr>
                <w:noProof/>
                <w:webHidden/>
              </w:rPr>
            </w:r>
            <w:r w:rsidR="00EC4D5E">
              <w:rPr>
                <w:noProof/>
                <w:webHidden/>
              </w:rPr>
              <w:fldChar w:fldCharType="separate"/>
            </w:r>
            <w:r w:rsidR="005F141F">
              <w:rPr>
                <w:noProof/>
                <w:webHidden/>
              </w:rPr>
              <w:t>35</w:t>
            </w:r>
            <w:r w:rsidR="00EC4D5E">
              <w:rPr>
                <w:noProof/>
                <w:webHidden/>
              </w:rPr>
              <w:fldChar w:fldCharType="end"/>
            </w:r>
          </w:hyperlink>
        </w:p>
        <w:p w14:paraId="1D73D95C" w14:textId="50B960A9" w:rsidR="00EC4D5E" w:rsidRDefault="00210A9C">
          <w:pPr>
            <w:pStyle w:val="TDC2"/>
            <w:rPr>
              <w:rFonts w:asciiTheme="minorHAnsi" w:eastAsiaTheme="minorEastAsia" w:hAnsiTheme="minorHAnsi" w:cstheme="minorBidi"/>
              <w:b w:val="0"/>
              <w:bCs w:val="0"/>
              <w:noProof/>
              <w:lang w:val="es-CL" w:eastAsia="es-CL"/>
            </w:rPr>
          </w:pPr>
          <w:hyperlink w:anchor="_Toc80106255" w:history="1">
            <w:r w:rsidR="00EC4D5E" w:rsidRPr="00EE61CD">
              <w:rPr>
                <w:rStyle w:val="Hipervnculo"/>
                <w:noProof/>
              </w:rPr>
              <w:t>ANEXO N° 4. DECLARACIÓN JURADA SIMPLE DE NO CONSANGUINEIDAD</w:t>
            </w:r>
            <w:r w:rsidR="00EC4D5E">
              <w:rPr>
                <w:noProof/>
                <w:webHidden/>
              </w:rPr>
              <w:tab/>
            </w:r>
            <w:r w:rsidR="00EC4D5E">
              <w:rPr>
                <w:noProof/>
                <w:webHidden/>
              </w:rPr>
              <w:fldChar w:fldCharType="begin"/>
            </w:r>
            <w:r w:rsidR="00EC4D5E">
              <w:rPr>
                <w:noProof/>
                <w:webHidden/>
              </w:rPr>
              <w:instrText xml:space="preserve"> PAGEREF _Toc80106255 \h </w:instrText>
            </w:r>
            <w:r w:rsidR="00EC4D5E">
              <w:rPr>
                <w:noProof/>
                <w:webHidden/>
              </w:rPr>
            </w:r>
            <w:r w:rsidR="00EC4D5E">
              <w:rPr>
                <w:noProof/>
                <w:webHidden/>
              </w:rPr>
              <w:fldChar w:fldCharType="separate"/>
            </w:r>
            <w:r w:rsidR="005F141F">
              <w:rPr>
                <w:noProof/>
                <w:webHidden/>
              </w:rPr>
              <w:t>36</w:t>
            </w:r>
            <w:r w:rsidR="00EC4D5E">
              <w:rPr>
                <w:noProof/>
                <w:webHidden/>
              </w:rPr>
              <w:fldChar w:fldCharType="end"/>
            </w:r>
          </w:hyperlink>
        </w:p>
        <w:p w14:paraId="00667079" w14:textId="7E9BB926" w:rsidR="00EC4D5E" w:rsidRDefault="00210A9C">
          <w:pPr>
            <w:pStyle w:val="TDC2"/>
            <w:rPr>
              <w:rFonts w:asciiTheme="minorHAnsi" w:eastAsiaTheme="minorEastAsia" w:hAnsiTheme="minorHAnsi" w:cstheme="minorBidi"/>
              <w:b w:val="0"/>
              <w:bCs w:val="0"/>
              <w:noProof/>
              <w:lang w:val="es-CL" w:eastAsia="es-CL"/>
            </w:rPr>
          </w:pPr>
          <w:hyperlink w:anchor="_Toc80106256" w:history="1">
            <w:r w:rsidR="00EC4D5E" w:rsidRPr="00EE61CD">
              <w:rPr>
                <w:rStyle w:val="Hipervnculo"/>
                <w:noProof/>
              </w:rPr>
              <w:t xml:space="preserve">ANEXO N° 5. </w:t>
            </w:r>
            <w:r w:rsidR="00EC4D5E" w:rsidRPr="00EE61CD">
              <w:rPr>
                <w:rStyle w:val="Hipervnculo"/>
                <w:rFonts w:eastAsia="Arial Unicode MS" w:cs="Arial"/>
                <w:noProof/>
                <w:lang w:eastAsia="en-US"/>
              </w:rPr>
              <w:t>CRITERIOS DE EVALUACIÓN TÉCNICA</w:t>
            </w:r>
            <w:r w:rsidR="00EC4D5E">
              <w:rPr>
                <w:noProof/>
                <w:webHidden/>
              </w:rPr>
              <w:tab/>
            </w:r>
            <w:r w:rsidR="00EC4D5E">
              <w:rPr>
                <w:noProof/>
                <w:webHidden/>
              </w:rPr>
              <w:fldChar w:fldCharType="begin"/>
            </w:r>
            <w:r w:rsidR="00EC4D5E">
              <w:rPr>
                <w:noProof/>
                <w:webHidden/>
              </w:rPr>
              <w:instrText xml:space="preserve"> PAGEREF _Toc80106256 \h </w:instrText>
            </w:r>
            <w:r w:rsidR="00EC4D5E">
              <w:rPr>
                <w:noProof/>
                <w:webHidden/>
              </w:rPr>
            </w:r>
            <w:r w:rsidR="00EC4D5E">
              <w:rPr>
                <w:noProof/>
                <w:webHidden/>
              </w:rPr>
              <w:fldChar w:fldCharType="separate"/>
            </w:r>
            <w:r w:rsidR="005F141F">
              <w:rPr>
                <w:noProof/>
                <w:webHidden/>
              </w:rPr>
              <w:t>38</w:t>
            </w:r>
            <w:r w:rsidR="00EC4D5E">
              <w:rPr>
                <w:noProof/>
                <w:webHidden/>
              </w:rPr>
              <w:fldChar w:fldCharType="end"/>
            </w:r>
          </w:hyperlink>
        </w:p>
        <w:p w14:paraId="74F58175" w14:textId="1D3CD390" w:rsidR="00EC4D5E" w:rsidRDefault="00210A9C">
          <w:pPr>
            <w:pStyle w:val="TDC2"/>
            <w:rPr>
              <w:rFonts w:asciiTheme="minorHAnsi" w:eastAsiaTheme="minorEastAsia" w:hAnsiTheme="minorHAnsi" w:cstheme="minorBidi"/>
              <w:b w:val="0"/>
              <w:bCs w:val="0"/>
              <w:noProof/>
              <w:lang w:val="es-CL" w:eastAsia="es-CL"/>
            </w:rPr>
          </w:pPr>
          <w:hyperlink w:anchor="_Toc80106257" w:history="1">
            <w:r w:rsidR="00EC4D5E" w:rsidRPr="00EE61CD">
              <w:rPr>
                <w:rStyle w:val="Hipervnculo"/>
                <w:noProof/>
              </w:rPr>
              <w:t xml:space="preserve">ANEXO N° 6. CRITERIOS DE EVALUACIÓN DEL COMITÉ DE EVALUACIÓN REGIONAL </w:t>
            </w:r>
            <w:r w:rsidR="00EC4D5E" w:rsidRPr="00EE61CD">
              <w:rPr>
                <w:rStyle w:val="Hipervnculo"/>
                <w:noProof/>
                <w:snapToGrid w:val="0"/>
              </w:rPr>
              <w:t>.</w:t>
            </w:r>
            <w:r w:rsidR="00EC4D5E">
              <w:rPr>
                <w:noProof/>
                <w:webHidden/>
              </w:rPr>
              <w:tab/>
            </w:r>
            <w:r w:rsidR="00EC4D5E">
              <w:rPr>
                <w:noProof/>
                <w:webHidden/>
              </w:rPr>
              <w:fldChar w:fldCharType="begin"/>
            </w:r>
            <w:r w:rsidR="00EC4D5E">
              <w:rPr>
                <w:noProof/>
                <w:webHidden/>
              </w:rPr>
              <w:instrText xml:space="preserve"> PAGEREF _Toc80106257 \h </w:instrText>
            </w:r>
            <w:r w:rsidR="00EC4D5E">
              <w:rPr>
                <w:noProof/>
                <w:webHidden/>
              </w:rPr>
            </w:r>
            <w:r w:rsidR="00EC4D5E">
              <w:rPr>
                <w:noProof/>
                <w:webHidden/>
              </w:rPr>
              <w:fldChar w:fldCharType="separate"/>
            </w:r>
            <w:r w:rsidR="005F141F">
              <w:rPr>
                <w:noProof/>
                <w:webHidden/>
              </w:rPr>
              <w:t>42</w:t>
            </w:r>
            <w:r w:rsidR="00EC4D5E">
              <w:rPr>
                <w:noProof/>
                <w:webHidden/>
              </w:rPr>
              <w:fldChar w:fldCharType="end"/>
            </w:r>
          </w:hyperlink>
        </w:p>
        <w:p w14:paraId="39AFF723" w14:textId="64B9519A"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106229"/>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106230"/>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106231"/>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106232"/>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106233"/>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106234"/>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106235"/>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31BA134F" w14:textId="77777777" w:rsidR="005474C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76DA3A5F" w:rsidR="00041A98" w:rsidRPr="005474C9" w:rsidRDefault="00041A98" w:rsidP="009A4A2D">
            <w:pPr>
              <w:widowControl w:val="0"/>
              <w:jc w:val="both"/>
              <w:rPr>
                <w:b/>
                <w:sz w:val="20"/>
                <w:szCs w:val="20"/>
                <w:lang w:eastAsia="es-CL"/>
              </w:rPr>
            </w:pPr>
          </w:p>
        </w:tc>
      </w:tr>
      <w:tr w:rsidR="00181F20" w:rsidRPr="00B93A85" w14:paraId="12EA602F" w14:textId="77777777" w:rsidTr="002E7EE6">
        <w:trPr>
          <w:trHeight w:val="155"/>
        </w:trPr>
        <w:tc>
          <w:tcPr>
            <w:tcW w:w="1276" w:type="dxa"/>
            <w:tcMar>
              <w:top w:w="57" w:type="dxa"/>
              <w:bottom w:w="57" w:type="dxa"/>
            </w:tcMar>
          </w:tcPr>
          <w:p w14:paraId="3384E48D" w14:textId="77777777" w:rsidR="00181F20" w:rsidRPr="00B93A85" w:rsidRDefault="00181F20" w:rsidP="00735A81">
            <w:pPr>
              <w:rPr>
                <w:rFonts w:eastAsiaTheme="minorHAnsi"/>
                <w:sz w:val="20"/>
                <w:szCs w:val="20"/>
                <w:lang w:eastAsia="es-CL"/>
              </w:rPr>
            </w:pPr>
          </w:p>
        </w:tc>
        <w:tc>
          <w:tcPr>
            <w:tcW w:w="1418" w:type="dxa"/>
            <w:tcMar>
              <w:top w:w="57" w:type="dxa"/>
              <w:left w:w="70" w:type="dxa"/>
              <w:bottom w:w="57" w:type="dxa"/>
              <w:right w:w="70" w:type="dxa"/>
            </w:tcMar>
          </w:tcPr>
          <w:p w14:paraId="0C40C447" w14:textId="357FD146" w:rsidR="00181F20" w:rsidRPr="00181F20" w:rsidRDefault="00181F20" w:rsidP="00735A81">
            <w:pPr>
              <w:rPr>
                <w:sz w:val="19"/>
                <w:szCs w:val="19"/>
              </w:rPr>
            </w:pPr>
            <w:r w:rsidRPr="00181F20">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2BB67D1C" w14:textId="5CFE3384" w:rsidR="00181F20" w:rsidRPr="00B93A85" w:rsidRDefault="00181F20"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106236"/>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106237"/>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106238"/>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106239"/>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5069938B" w:rsidR="00017271" w:rsidRDefault="00017271" w:rsidP="00017271">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w:t>
      </w:r>
      <w:r w:rsidR="006C0DCA">
        <w:rPr>
          <w:rFonts w:eastAsia="Arial Unicode MS" w:cs="Arial"/>
          <w:szCs w:val="22"/>
          <w:lang w:val="es-CL"/>
        </w:rPr>
        <w:t xml:space="preserve"> y disminución</w:t>
      </w:r>
      <w:bookmarkStart w:id="37" w:name="_GoBack"/>
      <w:bookmarkEnd w:id="37"/>
      <w:r w:rsidRPr="00017271">
        <w:rPr>
          <w:rFonts w:eastAsia="Arial Unicode MS" w:cs="Arial"/>
          <w:szCs w:val="22"/>
          <w:lang w:val="es-CL"/>
        </w:rPr>
        <w:t xml:space="preserve">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06240"/>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15F76603" w:rsidR="007C7B54" w:rsidRDefault="00382B9F" w:rsidP="007C7B54">
      <w:pPr>
        <w:jc w:val="both"/>
        <w:rPr>
          <w:color w:val="000000"/>
          <w:szCs w:val="22"/>
          <w:bdr w:val="none" w:sz="0" w:space="0" w:color="auto" w:frame="1"/>
        </w:rPr>
      </w:pPr>
      <w:r w:rsidRPr="00382B9F">
        <w:rPr>
          <w:color w:val="000000"/>
          <w:szCs w:val="22"/>
          <w:bdr w:val="none" w:sz="0" w:space="0" w:color="auto" w:frame="1"/>
        </w:rPr>
        <w:t>Para que las personas interesadas realicen consultas, Sercotec dispondrá de Agentes Operadores. Para esta convo</w:t>
      </w:r>
      <w:r>
        <w:rPr>
          <w:color w:val="000000"/>
          <w:szCs w:val="22"/>
          <w:bdr w:val="none" w:sz="0" w:space="0" w:color="auto" w:frame="1"/>
        </w:rPr>
        <w:t xml:space="preserve">catoria, el Agente asignado es: </w:t>
      </w:r>
      <w:r w:rsidRPr="00382B9F">
        <w:rPr>
          <w:color w:val="000000"/>
          <w:szCs w:val="22"/>
          <w:bdr w:val="none" w:sz="0" w:space="0" w:color="auto" w:frame="1"/>
        </w:rPr>
        <w:t xml:space="preserve">CODESSER, correo electrónico isidora.matus@codesser.cl, dirección Av. Luis Beretta Porcel 2916 Arica y teléfono +56 9 78790811. </w:t>
      </w:r>
      <w:r w:rsidR="007C7B54" w:rsidRPr="00C842D4">
        <w:rPr>
          <w:color w:val="000000"/>
          <w:szCs w:val="22"/>
          <w:bdr w:val="none" w:sz="0" w:space="0" w:color="auto" w:frame="1"/>
        </w:rPr>
        <w:t xml:space="preserve">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Puntos Mipe</w:t>
      </w:r>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Sercotec, por teléfono, o bien, en forma virtual ingresando a </w:t>
      </w:r>
      <w:hyperlink r:id="rId21"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06241"/>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06242"/>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06243"/>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A04DC49" w14:textId="77777777" w:rsidR="00BE3F70" w:rsidRDefault="00BE3F70" w:rsidP="00BE3F70">
      <w:pPr>
        <w:pStyle w:val="Ttulo2"/>
        <w:numPr>
          <w:ilvl w:val="0"/>
          <w:numId w:val="0"/>
        </w:numPr>
        <w:spacing w:before="0" w:after="0"/>
        <w:ind w:left="567"/>
        <w:jc w:val="both"/>
        <w:rPr>
          <w:rFonts w:cs="Arial"/>
          <w:szCs w:val="22"/>
          <w:lang w:val="es-CL"/>
        </w:rPr>
      </w:pPr>
    </w:p>
    <w:p w14:paraId="151BE188" w14:textId="58C1B335" w:rsidR="007F647B" w:rsidRDefault="007F647B" w:rsidP="005F643E">
      <w:pPr>
        <w:pStyle w:val="Ttulo2"/>
        <w:numPr>
          <w:ilvl w:val="1"/>
          <w:numId w:val="13"/>
        </w:numPr>
        <w:spacing w:before="0" w:after="0"/>
        <w:ind w:left="567" w:hanging="567"/>
        <w:jc w:val="both"/>
        <w:rPr>
          <w:rFonts w:cs="Arial"/>
          <w:szCs w:val="22"/>
          <w:lang w:val="es-CL"/>
        </w:rPr>
      </w:pPr>
      <w:bookmarkStart w:id="44" w:name="_Toc80106244"/>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06245"/>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w:t>
            </w:r>
            <w:r w:rsidRPr="000C4629">
              <w:rPr>
                <w:rFonts w:eastAsia="Arial Unicode MS" w:cs="Arial"/>
                <w:bCs/>
                <w:sz w:val="20"/>
                <w:szCs w:val="18"/>
              </w:rPr>
              <w:lastRenderedPageBreak/>
              <w:t>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lastRenderedPageBreak/>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DA6ADE" w:rsidRPr="00B93A85" w14:paraId="5E181637" w14:textId="77777777" w:rsidTr="00940818">
        <w:trPr>
          <w:trHeight w:val="515"/>
          <w:jc w:val="center"/>
        </w:trPr>
        <w:tc>
          <w:tcPr>
            <w:tcW w:w="4123" w:type="pct"/>
            <w:shd w:val="clear" w:color="auto" w:fill="auto"/>
            <w:vAlign w:val="center"/>
          </w:tcPr>
          <w:p w14:paraId="77892BD6" w14:textId="3F143FC4" w:rsidR="00DA6ADE" w:rsidRPr="00BE3F70" w:rsidRDefault="00BE3F70" w:rsidP="005F643E">
            <w:pPr>
              <w:pStyle w:val="Prrafodelista"/>
              <w:numPr>
                <w:ilvl w:val="0"/>
                <w:numId w:val="18"/>
              </w:numPr>
              <w:ind w:left="306" w:hanging="284"/>
              <w:jc w:val="both"/>
              <w:rPr>
                <w:rFonts w:eastAsia="Arial Unicode MS" w:cstheme="minorHAnsi"/>
                <w:bCs/>
                <w:szCs w:val="22"/>
              </w:rPr>
            </w:pPr>
            <w:r w:rsidRPr="00BE3F70">
              <w:rPr>
                <w:rFonts w:eastAsia="Arial Unicode MS" w:cs="Arial"/>
                <w:bCs/>
                <w:sz w:val="20"/>
                <w:szCs w:val="18"/>
              </w:rPr>
              <w:t>Diversificación de la cartera de negocio y/o Digitalización.</w:t>
            </w:r>
          </w:p>
        </w:tc>
        <w:tc>
          <w:tcPr>
            <w:tcW w:w="877" w:type="pct"/>
            <w:shd w:val="clear" w:color="auto" w:fill="auto"/>
            <w:vAlign w:val="center"/>
          </w:tcPr>
          <w:p w14:paraId="6463A75A"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DA6AD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19862A1A" w:rsidR="00DA6ADE" w:rsidRPr="00BE3F70" w:rsidRDefault="00BE3F70" w:rsidP="005F643E">
            <w:pPr>
              <w:pStyle w:val="Prrafodelista"/>
              <w:numPr>
                <w:ilvl w:val="0"/>
                <w:numId w:val="18"/>
              </w:numPr>
              <w:ind w:left="306" w:hanging="284"/>
              <w:jc w:val="both"/>
              <w:rPr>
                <w:rFonts w:eastAsia="Arial Unicode MS" w:cstheme="minorHAnsi"/>
                <w:bCs/>
                <w:szCs w:val="22"/>
              </w:rPr>
            </w:pPr>
            <w:r w:rsidRPr="00BE3F70">
              <w:rPr>
                <w:rFonts w:eastAsia="Arial Unicode MS" w:cs="Arial"/>
                <w:bCs/>
                <w:sz w:val="20"/>
                <w:szCs w:val="18"/>
              </w:rPr>
              <w:t>Pertenecer a los territorios que componen las comunas de Gral. Lagos, Putre o Camarones.</w:t>
            </w:r>
          </w:p>
        </w:tc>
        <w:tc>
          <w:tcPr>
            <w:tcW w:w="877" w:type="pct"/>
            <w:tcBorders>
              <w:bottom w:val="single" w:sz="4" w:space="0" w:color="auto"/>
            </w:tcBorders>
            <w:shd w:val="clear" w:color="auto" w:fill="auto"/>
            <w:vAlign w:val="center"/>
          </w:tcPr>
          <w:p w14:paraId="25F11044"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2"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06246"/>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06247"/>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06248"/>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06249"/>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3"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12AB56A5"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8F51BC">
              <w:rPr>
                <w:szCs w:val="22"/>
              </w:rPr>
              <w:t>ue éstos, al comienzo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06250"/>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4366B7B2"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8755FF">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06251"/>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06252"/>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4"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210A9C"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062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56DC0C4D"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414D5D6E" w14:textId="647B4721"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lastRenderedPageBreak/>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264C1C5A" w:rsidR="00B01203" w:rsidRPr="00214612" w:rsidRDefault="008A29CB" w:rsidP="00214612">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214612" w:rsidRPr="00B93A85" w14:paraId="1C333B80" w14:textId="77777777" w:rsidTr="00D301AA">
        <w:tc>
          <w:tcPr>
            <w:tcW w:w="1776" w:type="dxa"/>
          </w:tcPr>
          <w:p w14:paraId="221867A2" w14:textId="319A7914" w:rsidR="00214612" w:rsidRPr="00B93A85" w:rsidRDefault="00214612" w:rsidP="00D301AA">
            <w:pPr>
              <w:numPr>
                <w:ilvl w:val="0"/>
                <w:numId w:val="6"/>
              </w:numPr>
              <w:ind w:left="356" w:hanging="356"/>
              <w:rPr>
                <w:rFonts w:cs="Arial"/>
                <w:b/>
                <w:bCs/>
                <w:snapToGrid w:val="0"/>
                <w:sz w:val="20"/>
                <w:lang w:val="es-CL"/>
              </w:rPr>
            </w:pPr>
            <w:r w:rsidRPr="00214612">
              <w:rPr>
                <w:rFonts w:cs="Calibri"/>
                <w:b/>
                <w:sz w:val="20"/>
                <w:szCs w:val="20"/>
                <w:lang w:eastAsia="es-CL"/>
              </w:rPr>
              <w:lastRenderedPageBreak/>
              <w:t>Servicios esenciales para el funcionamiento del negocio</w:t>
            </w:r>
          </w:p>
        </w:tc>
        <w:tc>
          <w:tcPr>
            <w:tcW w:w="7088" w:type="dxa"/>
          </w:tcPr>
          <w:p w14:paraId="689B84AC" w14:textId="77777777" w:rsidR="00214612" w:rsidRPr="00214612" w:rsidRDefault="00214612" w:rsidP="00214612">
            <w:pPr>
              <w:widowControl w:val="0"/>
              <w:ind w:left="356"/>
              <w:jc w:val="both"/>
              <w:rPr>
                <w:rFonts w:cs="Calibri"/>
                <w:sz w:val="20"/>
                <w:szCs w:val="20"/>
                <w:lang w:eastAsia="es-CL"/>
              </w:rPr>
            </w:pPr>
            <w:r w:rsidRPr="00214612">
              <w:rPr>
                <w:rFonts w:cs="Calibri"/>
                <w:b/>
                <w:sz w:val="20"/>
                <w:szCs w:val="20"/>
                <w:lang w:eastAsia="es-CL"/>
              </w:rPr>
              <w:t xml:space="preserve">Servicios esenciales para el funcionamiento del negocio: </w:t>
            </w:r>
            <w:r w:rsidRPr="00214612">
              <w:rPr>
                <w:rFonts w:cs="Calibri"/>
                <w:sz w:val="20"/>
                <w:szCs w:val="20"/>
                <w:lang w:eastAsia="es-CL"/>
              </w:rPr>
              <w:t xml:space="preserve">Comprende el gasto en aquellos servicios que son contratados por la empresa a un tercero, y resultan indispensables para el </w:t>
            </w:r>
            <w:r w:rsidRPr="00214612">
              <w:rPr>
                <w:rFonts w:cs="Arial"/>
                <w:bCs/>
                <w:snapToGrid w:val="0"/>
                <w:sz w:val="20"/>
                <w:lang w:val="es-CL"/>
              </w:rPr>
              <w:t>desarrollo</w:t>
            </w:r>
            <w:r w:rsidRPr="00214612">
              <w:rPr>
                <w:rFonts w:cs="Calibri"/>
                <w:sz w:val="20"/>
                <w:szCs w:val="20"/>
                <w:lang w:eastAsia="es-CL"/>
              </w:rPr>
              <w:t xml:space="preserve"> del negocio.</w:t>
            </w:r>
            <w:r w:rsidRPr="00214612">
              <w:rPr>
                <w:rFonts w:ascii="Calibri" w:hAnsi="Calibri" w:cs="Calibri"/>
                <w:sz w:val="20"/>
                <w:szCs w:val="20"/>
                <w:lang w:eastAsia="es-CL"/>
              </w:rPr>
              <w:t>  </w:t>
            </w:r>
            <w:r w:rsidRPr="00214612">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214612">
              <w:rPr>
                <w:rFonts w:ascii="Calibri" w:hAnsi="Calibri" w:cs="Calibri"/>
                <w:sz w:val="20"/>
                <w:szCs w:val="20"/>
                <w:lang w:eastAsia="es-CL"/>
              </w:rPr>
              <w:t> </w:t>
            </w:r>
            <w:r w:rsidRPr="00214612">
              <w:rPr>
                <w:rFonts w:cs="Calibri"/>
                <w:sz w:val="20"/>
                <w:szCs w:val="20"/>
                <w:lang w:eastAsia="es-CL"/>
              </w:rPr>
              <w:t>Se excluye la contratación de servicios que sean provistos por empresas que tienen un giro similar o igual al de la empresa beneficiaria.</w:t>
            </w:r>
          </w:p>
          <w:p w14:paraId="313DA6C2" w14:textId="77777777" w:rsidR="00214612" w:rsidRDefault="00214612" w:rsidP="00214612">
            <w:pPr>
              <w:widowControl w:val="0"/>
              <w:ind w:left="360"/>
              <w:jc w:val="both"/>
              <w:rPr>
                <w:rFonts w:cs="Calibri"/>
                <w:sz w:val="20"/>
                <w:szCs w:val="20"/>
                <w:lang w:eastAsia="es-CL"/>
              </w:rPr>
            </w:pPr>
          </w:p>
          <w:p w14:paraId="1D4C8912" w14:textId="4B61CE7F" w:rsidR="00214612" w:rsidRPr="00214612" w:rsidRDefault="00214612" w:rsidP="00214612">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06254"/>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2F72A25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CB2CC6">
        <w:rPr>
          <w:b/>
        </w:rPr>
        <w:t>Arica y Parinacota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06255"/>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3BFA0ECD" w14:textId="77777777" w:rsidR="002443F8" w:rsidRPr="00DD12DD" w:rsidRDefault="002443F8" w:rsidP="002443F8">
      <w:pPr>
        <w:numPr>
          <w:ilvl w:val="0"/>
          <w:numId w:val="9"/>
        </w:numPr>
        <w:spacing w:after="200" w:line="276" w:lineRule="auto"/>
        <w:jc w:val="both"/>
        <w:rPr>
          <w:snapToGrid w:val="0"/>
        </w:rPr>
      </w:pPr>
      <w:r w:rsidRPr="00CC756D">
        <w:rPr>
          <w:snapToGrid w:val="0"/>
        </w:rPr>
        <w:t xml:space="preserve">El gasto rendido en el ítem de </w:t>
      </w:r>
      <w:r w:rsidRPr="00CE7DD1">
        <w:rPr>
          <w:szCs w:val="22"/>
          <w:u w:val="single"/>
        </w:rPr>
        <w:t xml:space="preserve">Acciones de </w:t>
      </w:r>
      <w:r>
        <w:rPr>
          <w:szCs w:val="22"/>
          <w:u w:val="single"/>
        </w:rPr>
        <w:t xml:space="preserve">Marketing (Promoción, Publicidad y Difusión) </w:t>
      </w:r>
      <w:r w:rsidRPr="00CE7DD1">
        <w:rPr>
          <w:b/>
          <w:szCs w:val="22"/>
          <w:u w:val="single"/>
        </w:rPr>
        <w:t>NO</w:t>
      </w:r>
      <w:r>
        <w:rPr>
          <w:szCs w:val="22"/>
          <w:u w:val="single"/>
        </w:rPr>
        <w:t xml:space="preserve"> corresponde</w:t>
      </w:r>
      <w:r w:rsidRPr="00CC756D">
        <w:t xml:space="preserve"> a mis propias boletas de honorarios</w:t>
      </w:r>
      <w:r>
        <w:t xml:space="preserve"> o facturas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p>
    <w:p w14:paraId="0316A8B1" w14:textId="77777777" w:rsidR="002443F8" w:rsidRDefault="002443F8" w:rsidP="002443F8">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Pr>
          <w:snapToGrid w:val="0"/>
        </w:rPr>
        <w:t xml:space="preserve">y afinidad, </w:t>
      </w:r>
      <w:r w:rsidRPr="00CC756D">
        <w:rPr>
          <w:snapToGrid w:val="0"/>
        </w:rPr>
        <w:t>hasta el segundo grado in</w:t>
      </w:r>
      <w:r>
        <w:rPr>
          <w:snapToGrid w:val="0"/>
        </w:rPr>
        <w:t xml:space="preserve">clusive (hijos, padres, abuelos, </w:t>
      </w:r>
      <w:r w:rsidRPr="00CC756D">
        <w:rPr>
          <w:snapToGrid w:val="0"/>
        </w:rPr>
        <w:t>hermanos).</w:t>
      </w:r>
    </w:p>
    <w:p w14:paraId="17523617" w14:textId="77777777" w:rsidR="002443F8" w:rsidRPr="00CE7DD1" w:rsidRDefault="002443F8" w:rsidP="002443F8">
      <w:pPr>
        <w:numPr>
          <w:ilvl w:val="0"/>
          <w:numId w:val="9"/>
        </w:numPr>
        <w:spacing w:after="200" w:line="276" w:lineRule="auto"/>
        <w:jc w:val="both"/>
        <w:rPr>
          <w:bCs/>
          <w:snapToGrid w:val="0"/>
        </w:rPr>
      </w:pPr>
      <w:r w:rsidRPr="00B93A85">
        <w:rPr>
          <w:bCs/>
          <w:snapToGrid w:val="0"/>
        </w:rPr>
        <w:t>El gasto rendido asociado a</w:t>
      </w:r>
      <w:r>
        <w:rPr>
          <w:bCs/>
          <w:snapToGrid w:val="0"/>
        </w:rPr>
        <w:t xml:space="preserve">l servicio de flete en sub ítem </w:t>
      </w:r>
      <w:r w:rsidRPr="00B93A85">
        <w:rPr>
          <w:bCs/>
          <w:snapToGrid w:val="0"/>
          <w:u w:val="single"/>
        </w:rPr>
        <w:t xml:space="preserve">de </w:t>
      </w:r>
      <w:r>
        <w:rPr>
          <w:bCs/>
          <w:snapToGrid w:val="0"/>
          <w:u w:val="single"/>
        </w:rPr>
        <w:t>Activos</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 representantes legales, ni de </w:t>
      </w:r>
      <w:r w:rsidRPr="00B93A85">
        <w:rPr>
          <w:bCs/>
          <w:snapToGrid w:val="0"/>
        </w:rPr>
        <w:t>su</w:t>
      </w:r>
      <w:r>
        <w:rPr>
          <w:bCs/>
          <w:snapToGrid w:val="0"/>
        </w:rPr>
        <w:t>s</w:t>
      </w:r>
      <w:r w:rsidRPr="00B93A85">
        <w:rPr>
          <w:bCs/>
          <w:snapToGrid w:val="0"/>
        </w:rPr>
        <w:t xml:space="preserve"> respectiv</w:t>
      </w:r>
      <w:r>
        <w:rPr>
          <w:bCs/>
          <w:snapToGrid w:val="0"/>
        </w:rPr>
        <w:t>os</w:t>
      </w:r>
      <w:r w:rsidRPr="00B93A85">
        <w:rPr>
          <w:bCs/>
          <w:snapToGrid w:val="0"/>
        </w:rPr>
        <w:t xml:space="preserve"> cónyuge</w:t>
      </w:r>
      <w:r>
        <w:rPr>
          <w:bCs/>
          <w:snapToGrid w:val="0"/>
        </w:rPr>
        <w:t>s, conviviente civil y parientes</w:t>
      </w:r>
      <w:r w:rsidRPr="00B93A85">
        <w:rPr>
          <w:bCs/>
          <w:snapToGrid w:val="0"/>
        </w:rPr>
        <w:t xml:space="preserve"> por consanguineidad y afinidad</w:t>
      </w:r>
      <w:r>
        <w:rPr>
          <w:bCs/>
          <w:snapToGrid w:val="0"/>
        </w:rPr>
        <w:t>,</w:t>
      </w:r>
      <w:r w:rsidRPr="00B93A85">
        <w:rPr>
          <w:bCs/>
          <w:snapToGrid w:val="0"/>
        </w:rPr>
        <w:t xml:space="preserve"> hasta segundo grado inclusive (hijos, padre, madre y hermanos).</w:t>
      </w:r>
    </w:p>
    <w:p w14:paraId="47F1D524" w14:textId="77777777" w:rsidR="002443F8" w:rsidRDefault="002443F8" w:rsidP="002443F8">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CE7DD1">
        <w:rPr>
          <w:b/>
          <w:u w:val="single"/>
        </w:rPr>
        <w:t>NO</w:t>
      </w:r>
      <w:r w:rsidRPr="00CC756D">
        <w:rPr>
          <w:b/>
          <w:bCs/>
          <w:u w:val="single"/>
        </w:rPr>
        <w:t xml:space="preserve"> </w:t>
      </w:r>
      <w:r w:rsidRPr="00CC756D">
        <w:rPr>
          <w:u w:val="single"/>
        </w:rPr>
        <w:t>corresponde</w:t>
      </w:r>
      <w:r>
        <w:t xml:space="preserve"> </w:t>
      </w:r>
      <w:r w:rsidRPr="00B93A85">
        <w:rPr>
          <w:bCs/>
          <w:snapToGrid w:val="0"/>
          <w:u w:val="single"/>
        </w:rPr>
        <w:t>al pago</w:t>
      </w:r>
      <w:r w:rsidRPr="00CC756D">
        <w:rPr>
          <w:snapToGrid w:val="0"/>
        </w:rPr>
        <w:t xml:space="preserve"> de </w:t>
      </w:r>
      <w:r>
        <w:rPr>
          <w:snapToGrid w:val="0"/>
        </w:rPr>
        <w:t xml:space="preserve">alguno de los </w:t>
      </w:r>
      <w:r w:rsidRPr="00CC756D">
        <w:rPr>
          <w:snapToGrid w:val="0"/>
        </w:rPr>
        <w:t>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p>
    <w:p w14:paraId="238AAD2E" w14:textId="77777777" w:rsidR="002443F8" w:rsidRPr="00CE7DD1" w:rsidRDefault="002443F8" w:rsidP="002443F8">
      <w:pPr>
        <w:numPr>
          <w:ilvl w:val="0"/>
          <w:numId w:val="9"/>
        </w:numPr>
        <w:spacing w:after="200" w:line="276" w:lineRule="auto"/>
        <w:jc w:val="both"/>
        <w:rPr>
          <w:bCs/>
          <w:snapToGrid w:val="0"/>
        </w:rPr>
      </w:pPr>
      <w:r w:rsidRPr="00CE7DD1">
        <w:rPr>
          <w:bCs/>
          <w:snapToGrid w:val="0"/>
        </w:rPr>
        <w:t xml:space="preserve">El gasto rendido asociado al servicio de flete en sub ítem </w:t>
      </w:r>
      <w:r w:rsidRPr="00CE7DD1">
        <w:rPr>
          <w:bCs/>
          <w:snapToGrid w:val="0"/>
          <w:u w:val="single"/>
        </w:rPr>
        <w:t xml:space="preserve">habilitación de infraestructura </w:t>
      </w:r>
      <w:r w:rsidRPr="00CE7DD1">
        <w:rPr>
          <w:b/>
          <w:bCs/>
          <w:snapToGrid w:val="0"/>
          <w:u w:val="single"/>
        </w:rPr>
        <w:t>NO</w:t>
      </w:r>
      <w:r w:rsidRPr="00CE7DD1">
        <w:rPr>
          <w:bCs/>
          <w:snapToGrid w:val="0"/>
          <w:u w:val="single"/>
        </w:rPr>
        <w:t xml:space="preserve"> corresponde al pago</w:t>
      </w:r>
      <w:r w:rsidRPr="00CE7DD1">
        <w:rPr>
          <w:bCs/>
          <w:snapToGrid w:val="0"/>
        </w:rPr>
        <w:t xml:space="preserve"> </w:t>
      </w:r>
      <w:r>
        <w:rPr>
          <w:bCs/>
          <w:snapToGrid w:val="0"/>
        </w:rPr>
        <w:t xml:space="preserve">a alguno de los socios, representantes legales, ni de </w:t>
      </w:r>
      <w:r w:rsidRPr="00B93A85">
        <w:rPr>
          <w:bCs/>
          <w:snapToGrid w:val="0"/>
        </w:rPr>
        <w:t>su</w:t>
      </w:r>
      <w:r>
        <w:rPr>
          <w:bCs/>
          <w:snapToGrid w:val="0"/>
        </w:rPr>
        <w:t>s</w:t>
      </w:r>
      <w:r w:rsidRPr="00B93A85">
        <w:rPr>
          <w:bCs/>
          <w:snapToGrid w:val="0"/>
        </w:rPr>
        <w:t xml:space="preserve"> respectiv</w:t>
      </w:r>
      <w:r>
        <w:rPr>
          <w:bCs/>
          <w:snapToGrid w:val="0"/>
        </w:rPr>
        <w:t>os</w:t>
      </w:r>
      <w:r w:rsidRPr="00B93A85">
        <w:rPr>
          <w:bCs/>
          <w:snapToGrid w:val="0"/>
        </w:rPr>
        <w:t xml:space="preserve"> cónyuge</w:t>
      </w:r>
      <w:r>
        <w:rPr>
          <w:bCs/>
          <w:snapToGrid w:val="0"/>
        </w:rPr>
        <w:t>s, conviviente civil y parientes</w:t>
      </w:r>
      <w:r w:rsidRPr="00B93A85">
        <w:rPr>
          <w:bCs/>
          <w:snapToGrid w:val="0"/>
        </w:rPr>
        <w:t xml:space="preserve"> por consanguineidad y afinidad</w:t>
      </w:r>
      <w:r>
        <w:rPr>
          <w:bCs/>
          <w:snapToGrid w:val="0"/>
        </w:rPr>
        <w:t>,</w:t>
      </w:r>
      <w:r w:rsidRPr="00B93A85">
        <w:rPr>
          <w:bCs/>
          <w:snapToGrid w:val="0"/>
        </w:rPr>
        <w:t xml:space="preserve"> hasta segundo grado inclusive (hijos, padre, madre y hermanos).</w:t>
      </w:r>
    </w:p>
    <w:p w14:paraId="1A229528" w14:textId="77777777" w:rsidR="002443F8" w:rsidRPr="00CE7DD1" w:rsidRDefault="002443F8" w:rsidP="002443F8">
      <w:pPr>
        <w:numPr>
          <w:ilvl w:val="0"/>
          <w:numId w:val="9"/>
        </w:numPr>
        <w:spacing w:after="200" w:line="276" w:lineRule="auto"/>
        <w:jc w:val="both"/>
        <w:rPr>
          <w:rFonts w:cstheme="minorBidi"/>
          <w:snapToGrid w:val="0"/>
        </w:rPr>
      </w:pPr>
      <w:r w:rsidRPr="00CE7DD1">
        <w:rPr>
          <w:snapToGrid w:val="0"/>
        </w:rPr>
        <w:lastRenderedPageBreak/>
        <w:t>El gasto rendido en ítem de</w:t>
      </w:r>
      <w:r w:rsidRPr="00CE7DD1">
        <w:rPr>
          <w:rFonts w:ascii="Courier New" w:hAnsi="Courier New" w:cs="Courier New"/>
          <w:snapToGrid w:val="0"/>
        </w:rPr>
        <w:t> </w:t>
      </w:r>
      <w:r w:rsidRPr="00CE7DD1">
        <w:rPr>
          <w:snapToGrid w:val="0"/>
          <w:u w:val="single"/>
        </w:rPr>
        <w:t xml:space="preserve">Nuevas contrataciones </w:t>
      </w:r>
      <w:r w:rsidRPr="00CE7DD1">
        <w:rPr>
          <w:b/>
          <w:bCs/>
          <w:u w:val="single"/>
        </w:rPr>
        <w:t xml:space="preserve">NO </w:t>
      </w:r>
      <w:r w:rsidRPr="00CE7DD1">
        <w:rPr>
          <w:u w:val="single"/>
        </w:rPr>
        <w:t xml:space="preserve">corresponde </w:t>
      </w:r>
      <w:r w:rsidRPr="00B93A85">
        <w:t>a mi propia remuneración,</w:t>
      </w:r>
      <w:r>
        <w:t xml:space="preserve"> de mi cónyuge,</w:t>
      </w:r>
      <w:r w:rsidRPr="00B93A85">
        <w:t xml:space="preserve"> ni de mis </w:t>
      </w:r>
      <w:r w:rsidRPr="00CE7DD1">
        <w:rPr>
          <w:snapToGrid w:val="0"/>
        </w:rPr>
        <w:t>socios, representantes legales,</w:t>
      </w:r>
      <w:r>
        <w:rPr>
          <w:rFonts w:ascii="Courier New" w:hAnsi="Courier New" w:cs="Courier New"/>
          <w:snapToGrid w:val="0"/>
        </w:rPr>
        <w:t xml:space="preserve"> </w:t>
      </w:r>
      <w:r>
        <w:rPr>
          <w:snapToGrid w:val="0"/>
        </w:rPr>
        <w:t>ni de sus</w:t>
      </w:r>
      <w:r w:rsidRPr="00CE7DD1">
        <w:rPr>
          <w:snapToGrid w:val="0"/>
        </w:rPr>
        <w:t xml:space="preserve"> respectivo</w:t>
      </w:r>
      <w:r>
        <w:rPr>
          <w:snapToGrid w:val="0"/>
        </w:rPr>
        <w:t>s</w:t>
      </w:r>
      <w:r w:rsidRPr="00CE7DD1">
        <w:rPr>
          <w:snapToGrid w:val="0"/>
        </w:rPr>
        <w:t xml:space="preserve"> c</w:t>
      </w:r>
      <w:r w:rsidRPr="00CE7DD1">
        <w:rPr>
          <w:rFonts w:cs="gobCL"/>
          <w:snapToGrid w:val="0"/>
        </w:rPr>
        <w:t>ó</w:t>
      </w:r>
      <w:r w:rsidRPr="00CE7DD1">
        <w:rPr>
          <w:snapToGrid w:val="0"/>
        </w:rPr>
        <w:t>nyuge</w:t>
      </w:r>
      <w:r>
        <w:rPr>
          <w:snapToGrid w:val="0"/>
        </w:rPr>
        <w:t>s</w:t>
      </w:r>
      <w:r w:rsidRPr="00CE7DD1">
        <w:rPr>
          <w:snapToGrid w:val="0"/>
        </w:rPr>
        <w:t xml:space="preserve">, conviviente civil, hijos y parientes por consanguineidad </w:t>
      </w:r>
      <w:r>
        <w:rPr>
          <w:snapToGrid w:val="0"/>
        </w:rPr>
        <w:t xml:space="preserve">y afinidad, </w:t>
      </w:r>
      <w:r w:rsidRPr="00CE7DD1">
        <w:rPr>
          <w:snapToGrid w:val="0"/>
        </w:rPr>
        <w:t>hasta el segundo grado inclusive (hijos, padres, abuelos y hermanos).</w:t>
      </w:r>
    </w:p>
    <w:p w14:paraId="3BC0D209" w14:textId="77777777" w:rsidR="002443F8" w:rsidRPr="00F52733" w:rsidRDefault="002443F8" w:rsidP="002443F8">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Pr>
          <w:snapToGrid w:val="0"/>
        </w:rPr>
        <w:t xml:space="preserve"> y afinidad,</w:t>
      </w:r>
      <w:r w:rsidRPr="00B93A85">
        <w:rPr>
          <w:snapToGrid w:val="0"/>
        </w:rPr>
        <w:t xml:space="preserve"> hasta el segundo grado inclusive (hijos, padres, abuelos y hermanos).</w:t>
      </w:r>
    </w:p>
    <w:p w14:paraId="6F466714" w14:textId="77777777" w:rsidR="002443F8" w:rsidRPr="00B52105" w:rsidRDefault="002443F8" w:rsidP="002443F8">
      <w:pPr>
        <w:numPr>
          <w:ilvl w:val="0"/>
          <w:numId w:val="9"/>
        </w:numPr>
        <w:spacing w:after="200" w:line="276" w:lineRule="auto"/>
        <w:jc w:val="both"/>
        <w:rPr>
          <w:snapToGrid w:val="0"/>
        </w:rPr>
      </w:pPr>
      <w:r>
        <w:rPr>
          <w:snapToGrid w:val="0"/>
        </w:rPr>
        <w:t xml:space="preserve">El gasto rendido en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Pr>
          <w:snapToGrid w:val="0"/>
        </w:rPr>
        <w:t xml:space="preserve"> y afinidad,</w:t>
      </w:r>
      <w:r w:rsidRPr="00CC756D">
        <w:rPr>
          <w:snapToGrid w:val="0"/>
        </w:rPr>
        <w:t xml:space="preserve"> hasta el segundo grado inclusive (hijos, padres, abuelos y hermanos).</w:t>
      </w:r>
    </w:p>
    <w:p w14:paraId="7AED52DD" w14:textId="77777777" w:rsidR="002443F8" w:rsidRPr="00B93A85" w:rsidRDefault="002443F8" w:rsidP="002443F8">
      <w:pPr>
        <w:widowControl w:val="0"/>
        <w:numPr>
          <w:ilvl w:val="0"/>
          <w:numId w:val="9"/>
        </w:numPr>
        <w:spacing w:after="200" w:line="276" w:lineRule="auto"/>
        <w:jc w:val="both"/>
        <w:rPr>
          <w:rFonts w:cs="Arial"/>
          <w:bCs/>
          <w:snapToGrid w:val="0"/>
        </w:rPr>
      </w:pPr>
      <w:r w:rsidRPr="00B93A85">
        <w:rPr>
          <w:rFonts w:cs="Arial"/>
          <w:bCs/>
          <w:snapToGrid w:val="0"/>
        </w:rPr>
        <w:t>El gasto rendido asociado al s</w:t>
      </w:r>
      <w:r>
        <w:rPr>
          <w:rFonts w:cs="Arial"/>
          <w:bCs/>
          <w:snapToGrid w:val="0"/>
        </w:rPr>
        <w:t xml:space="preserve">ervicio de flete </w:t>
      </w:r>
      <w:r w:rsidRPr="00B93A85">
        <w:rPr>
          <w:rFonts w:cs="Arial"/>
          <w:bCs/>
          <w:snapToGrid w:val="0"/>
        </w:rPr>
        <w:t xml:space="preserve">de </w:t>
      </w:r>
      <w:r w:rsidRPr="00091698">
        <w:rPr>
          <w:rFonts w:cs="Arial"/>
          <w:bCs/>
          <w:snapToGrid w:val="0"/>
          <w:u w:val="single"/>
        </w:rPr>
        <w:t>ma</w:t>
      </w:r>
      <w:r>
        <w:rPr>
          <w:rFonts w:cs="Arial"/>
          <w:bCs/>
          <w:snapToGrid w:val="0"/>
          <w:u w:val="single"/>
        </w:rPr>
        <w:t>terias primas,  m</w:t>
      </w:r>
      <w:r w:rsidRPr="00B93A85">
        <w:rPr>
          <w:rFonts w:cs="Arial"/>
          <w:bCs/>
          <w:snapToGrid w:val="0"/>
          <w:u w:val="single"/>
        </w:rPr>
        <w:t>ateriales</w:t>
      </w:r>
      <w:r>
        <w:rPr>
          <w:rFonts w:cs="Arial"/>
          <w:bCs/>
          <w:snapToGrid w:val="0"/>
          <w:u w:val="single"/>
        </w:rPr>
        <w:t xml:space="preserve"> y mercadería</w:t>
      </w:r>
      <w:r w:rsidRPr="00B93A85">
        <w:rPr>
          <w:rFonts w:cs="Arial"/>
          <w:bCs/>
          <w:snapToGrid w:val="0"/>
          <w:u w:val="single"/>
        </w:rPr>
        <w:t xml:space="preserve"> </w:t>
      </w:r>
      <w:r w:rsidRPr="00B93A85">
        <w:rPr>
          <w:rFonts w:cs="Arial"/>
          <w:b/>
          <w:bCs/>
          <w:snapToGrid w:val="0"/>
          <w:u w:val="single"/>
        </w:rPr>
        <w:t>NO</w:t>
      </w:r>
      <w:r w:rsidRPr="00B93A85">
        <w:rPr>
          <w:rFonts w:cs="Arial"/>
          <w:bCs/>
          <w:snapToGrid w:val="0"/>
          <w:u w:val="single"/>
        </w:rPr>
        <w:t xml:space="preserve"> corresponde al pago </w:t>
      </w:r>
      <w:r w:rsidRPr="00B93A85">
        <w:rPr>
          <w:rFonts w:cs="Arial"/>
          <w:bCs/>
          <w:snapToGrid w:val="0"/>
        </w:rPr>
        <w:t>de alguno de los socios/as, representantes legales o de su respectivo cónyuge, conviviente civil, familiares por consanguineidad y afinidad</w:t>
      </w:r>
      <w:r>
        <w:rPr>
          <w:rFonts w:cs="Arial"/>
          <w:bCs/>
          <w:snapToGrid w:val="0"/>
        </w:rPr>
        <w:t>,</w:t>
      </w:r>
      <w:r w:rsidRPr="00B93A85">
        <w:rPr>
          <w:rFonts w:cs="Arial"/>
          <w:bCs/>
          <w:snapToGrid w:val="0"/>
        </w:rPr>
        <w:t xml:space="preserve"> hasta segundo grado inclusive (hijos, padre, madre y hermanos).</w:t>
      </w:r>
    </w:p>
    <w:p w14:paraId="7D90D800" w14:textId="77777777" w:rsidR="002443F8" w:rsidRPr="00DD1EF5" w:rsidRDefault="002443F8" w:rsidP="002443F8">
      <w:pPr>
        <w:widowControl w:val="0"/>
        <w:numPr>
          <w:ilvl w:val="0"/>
          <w:numId w:val="9"/>
        </w:numPr>
        <w:spacing w:after="200" w:line="276" w:lineRule="auto"/>
        <w:jc w:val="both"/>
        <w:rPr>
          <w:rFonts w:cs="Arial"/>
          <w:bCs/>
          <w:snapToGrid w:val="0"/>
        </w:rPr>
      </w:pPr>
      <w:r w:rsidRPr="00B93A85">
        <w:rPr>
          <w:rFonts w:cs="Arial"/>
          <w:bCs/>
          <w:snapToGrid w:val="0"/>
        </w:rPr>
        <w:t>El gasto rendido asociado a</w:t>
      </w:r>
      <w:r>
        <w:rPr>
          <w:rFonts w:cs="Arial"/>
          <w:bCs/>
          <w:snapToGrid w:val="0"/>
        </w:rPr>
        <w:t xml:space="preserve"> </w:t>
      </w:r>
      <w:r w:rsidRPr="00B93A85">
        <w:rPr>
          <w:rFonts w:cs="Arial"/>
          <w:bCs/>
          <w:snapToGrid w:val="0"/>
        </w:rPr>
        <w:t>l</w:t>
      </w:r>
      <w:r>
        <w:rPr>
          <w:rFonts w:cs="Arial"/>
          <w:bCs/>
          <w:snapToGrid w:val="0"/>
        </w:rPr>
        <w:t>a contratación</w:t>
      </w:r>
      <w:r w:rsidRPr="00B93A85">
        <w:rPr>
          <w:rFonts w:cs="Arial"/>
          <w:bCs/>
          <w:snapToGrid w:val="0"/>
        </w:rPr>
        <w:t xml:space="preserve"> </w:t>
      </w:r>
      <w:r>
        <w:rPr>
          <w:rFonts w:cs="Arial"/>
          <w:bCs/>
          <w:snapToGrid w:val="0"/>
        </w:rPr>
        <w:t xml:space="preserve">de </w:t>
      </w:r>
      <w:r>
        <w:rPr>
          <w:rFonts w:cs="Arial"/>
          <w:bCs/>
          <w:snapToGrid w:val="0"/>
          <w:u w:val="single"/>
        </w:rPr>
        <w:t>s</w:t>
      </w:r>
      <w:r w:rsidRPr="00DD1EF5">
        <w:rPr>
          <w:rFonts w:cs="Arial"/>
          <w:bCs/>
          <w:snapToGrid w:val="0"/>
          <w:u w:val="single"/>
        </w:rPr>
        <w:t xml:space="preserve">ervicios indispensables para el funcionamiento del negocio </w:t>
      </w:r>
      <w:r w:rsidRPr="00DD1EF5">
        <w:rPr>
          <w:rFonts w:cs="Arial"/>
          <w:b/>
          <w:bCs/>
          <w:snapToGrid w:val="0"/>
          <w:u w:val="single"/>
        </w:rPr>
        <w:t>NO</w:t>
      </w:r>
      <w:r w:rsidRPr="00DD1EF5">
        <w:rPr>
          <w:rFonts w:cs="Arial"/>
          <w:bCs/>
          <w:snapToGrid w:val="0"/>
          <w:u w:val="single"/>
        </w:rPr>
        <w:t xml:space="preserve"> corresponde al pa</w:t>
      </w:r>
      <w:r w:rsidRPr="00B93A85">
        <w:rPr>
          <w:rFonts w:cs="Arial"/>
          <w:bCs/>
          <w:snapToGrid w:val="0"/>
          <w:u w:val="single"/>
        </w:rPr>
        <w:t xml:space="preserve">go </w:t>
      </w:r>
      <w:r w:rsidRPr="00B93A85">
        <w:rPr>
          <w:rFonts w:cs="Arial"/>
          <w:bCs/>
          <w:snapToGrid w:val="0"/>
        </w:rPr>
        <w:t>de alguno de los socios/as, representantes legales o de su respectivo cónyuge, conviviente civil, familiares por consanguineidad y afinidad</w:t>
      </w:r>
      <w:r>
        <w:rPr>
          <w:rFonts w:cs="Arial"/>
          <w:bCs/>
          <w:snapToGrid w:val="0"/>
        </w:rPr>
        <w:t>.</w:t>
      </w:r>
      <w:r w:rsidRPr="00B93A85">
        <w:rPr>
          <w:rFonts w:cs="Arial"/>
          <w:bCs/>
          <w:snapToGrid w:val="0"/>
        </w:rPr>
        <w:t xml:space="preserve"> hasta segundo grado inclusive (hijos, padre, madre y hermanos).</w:t>
      </w:r>
    </w:p>
    <w:p w14:paraId="4F328888" w14:textId="17B602AF" w:rsidR="004C23D0" w:rsidRDefault="004C23D0" w:rsidP="004C23D0">
      <w:pPr>
        <w:ind w:left="1065"/>
        <w:jc w:val="both"/>
        <w:rPr>
          <w:rFonts w:ascii="Courier New" w:eastAsia="Calibri" w:hAnsi="Courier New" w:cs="Courier New"/>
        </w:rPr>
      </w:pPr>
    </w:p>
    <w:p w14:paraId="3C91B3DD" w14:textId="77777777" w:rsidR="002443F8" w:rsidRPr="00B93A85" w:rsidRDefault="002443F8"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72A377CE" w14:textId="430EEF11" w:rsidR="00632922" w:rsidRPr="00B93A85" w:rsidRDefault="00632922" w:rsidP="002443F8">
      <w:pP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06256"/>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106257"/>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BE3F70" w:rsidRPr="004F6B61" w14:paraId="789DF242" w14:textId="77777777" w:rsidTr="00214612">
        <w:trPr>
          <w:trHeight w:val="789"/>
          <w:jc w:val="center"/>
        </w:trPr>
        <w:tc>
          <w:tcPr>
            <w:tcW w:w="1996" w:type="dxa"/>
            <w:vMerge w:val="restart"/>
            <w:vAlign w:val="center"/>
            <w:hideMark/>
          </w:tcPr>
          <w:p w14:paraId="428E351A" w14:textId="27BCA831" w:rsidR="00BE3F70" w:rsidRPr="00BE3F70" w:rsidRDefault="00BE3F70" w:rsidP="00BE3F70">
            <w:pPr>
              <w:rPr>
                <w:rFonts w:cstheme="minorHAnsi"/>
                <w:b/>
                <w:sz w:val="19"/>
                <w:szCs w:val="19"/>
                <w:highlight w:val="yellow"/>
                <w:lang w:val="es-CL" w:eastAsia="en-US"/>
              </w:rPr>
            </w:pPr>
            <w:r w:rsidRPr="00BE3F70">
              <w:rPr>
                <w:rFonts w:cstheme="minorHAnsi"/>
                <w:b/>
                <w:sz w:val="20"/>
                <w:szCs w:val="20"/>
              </w:rPr>
              <w:t>3.</w:t>
            </w:r>
            <w:r w:rsidRPr="00BE3F70">
              <w:rPr>
                <w:rFonts w:eastAsia="Arial Unicode MS" w:cs="Arial"/>
                <w:b/>
                <w:bCs/>
                <w:sz w:val="20"/>
                <w:szCs w:val="18"/>
              </w:rPr>
              <w:t xml:space="preserve"> Diversificación de la cartera de negocio y/o Digitalización.</w:t>
            </w:r>
          </w:p>
        </w:tc>
        <w:tc>
          <w:tcPr>
            <w:tcW w:w="9072" w:type="dxa"/>
            <w:vAlign w:val="center"/>
          </w:tcPr>
          <w:p w14:paraId="38B6E684" w14:textId="649859F3" w:rsidR="00BE3F70" w:rsidRPr="00B203A1" w:rsidRDefault="00BE3F70" w:rsidP="00BE3F70">
            <w:pPr>
              <w:jc w:val="both"/>
              <w:rPr>
                <w:rFonts w:cstheme="minorHAnsi"/>
                <w:sz w:val="19"/>
                <w:szCs w:val="19"/>
              </w:rPr>
            </w:pPr>
            <w:r w:rsidRPr="005276F4">
              <w:rPr>
                <w:rFonts w:eastAsiaTheme="minorEastAsia" w:cstheme="minorBidi"/>
                <w:color w:val="000000" w:themeColor="text1"/>
                <w:kern w:val="24"/>
                <w:sz w:val="18"/>
                <w:szCs w:val="18"/>
              </w:rPr>
              <w:t>La Idea de Negocio propone la implementación de nuevos productos y/o servicios</w:t>
            </w:r>
            <w:r>
              <w:rPr>
                <w:rFonts w:eastAsiaTheme="minorEastAsia" w:cstheme="minorBidi"/>
                <w:color w:val="000000" w:themeColor="text1"/>
                <w:kern w:val="24"/>
                <w:sz w:val="18"/>
                <w:szCs w:val="18"/>
              </w:rPr>
              <w:t xml:space="preserve"> o incorpora herramientas de digitalización y/o marketing digital.</w:t>
            </w:r>
          </w:p>
        </w:tc>
        <w:tc>
          <w:tcPr>
            <w:tcW w:w="850" w:type="dxa"/>
            <w:vAlign w:val="center"/>
          </w:tcPr>
          <w:p w14:paraId="5BB62FCA" w14:textId="43BF9957" w:rsidR="00BE3F70" w:rsidRPr="00B203A1" w:rsidRDefault="00BE3F70" w:rsidP="00BE3F70">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BE3F70" w:rsidRPr="00B203A1" w:rsidRDefault="00BE3F70" w:rsidP="00BE3F70">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BE3F70" w:rsidRPr="004F6B61" w14:paraId="558C355E" w14:textId="77777777" w:rsidTr="00214612">
        <w:trPr>
          <w:trHeight w:val="829"/>
          <w:jc w:val="center"/>
        </w:trPr>
        <w:tc>
          <w:tcPr>
            <w:tcW w:w="1996" w:type="dxa"/>
            <w:vMerge/>
            <w:vAlign w:val="center"/>
            <w:hideMark/>
          </w:tcPr>
          <w:p w14:paraId="5E63C2A3" w14:textId="77777777" w:rsidR="00BE3F70" w:rsidRPr="00382B9F" w:rsidRDefault="00BE3F70" w:rsidP="00BE3F70">
            <w:pPr>
              <w:rPr>
                <w:rFonts w:cstheme="minorHAnsi"/>
                <w:sz w:val="19"/>
                <w:szCs w:val="19"/>
                <w:highlight w:val="yellow"/>
                <w:lang w:val="es-CL" w:eastAsia="en-US"/>
              </w:rPr>
            </w:pPr>
          </w:p>
        </w:tc>
        <w:tc>
          <w:tcPr>
            <w:tcW w:w="9072" w:type="dxa"/>
            <w:vAlign w:val="center"/>
          </w:tcPr>
          <w:p w14:paraId="056291B4" w14:textId="286A852F" w:rsidR="00BE3F70" w:rsidRPr="00B203A1" w:rsidRDefault="00BE3F70" w:rsidP="00BE3F70">
            <w:pPr>
              <w:jc w:val="both"/>
              <w:rPr>
                <w:rFonts w:cstheme="minorHAnsi"/>
                <w:sz w:val="19"/>
                <w:szCs w:val="19"/>
              </w:rPr>
            </w:pPr>
            <w:r w:rsidRPr="005276F4">
              <w:rPr>
                <w:rFonts w:eastAsiaTheme="minorEastAsia" w:cstheme="minorBidi"/>
                <w:color w:val="000000" w:themeColor="text1"/>
                <w:kern w:val="24"/>
                <w:sz w:val="18"/>
                <w:szCs w:val="18"/>
              </w:rPr>
              <w:t xml:space="preserve">La Idea de Negocio </w:t>
            </w:r>
            <w:r>
              <w:rPr>
                <w:rFonts w:eastAsiaTheme="minorEastAsia" w:cstheme="minorBidi"/>
                <w:color w:val="000000" w:themeColor="text1"/>
                <w:kern w:val="24"/>
                <w:sz w:val="18"/>
                <w:szCs w:val="18"/>
              </w:rPr>
              <w:t xml:space="preserve">No </w:t>
            </w:r>
            <w:r w:rsidRPr="005276F4">
              <w:rPr>
                <w:rFonts w:eastAsiaTheme="minorEastAsia" w:cstheme="minorBidi"/>
                <w:color w:val="000000" w:themeColor="text1"/>
                <w:kern w:val="24"/>
                <w:sz w:val="18"/>
                <w:szCs w:val="18"/>
              </w:rPr>
              <w:t>propone la implementación de nuevos productos y/o servicios</w:t>
            </w:r>
            <w:r>
              <w:rPr>
                <w:rFonts w:eastAsiaTheme="minorEastAsia" w:cstheme="minorBidi"/>
                <w:color w:val="000000" w:themeColor="text1"/>
                <w:kern w:val="24"/>
                <w:sz w:val="18"/>
                <w:szCs w:val="18"/>
              </w:rPr>
              <w:t xml:space="preserve"> o incorpora herramientas de digitalización y/o marketing digital.</w:t>
            </w:r>
          </w:p>
        </w:tc>
        <w:tc>
          <w:tcPr>
            <w:tcW w:w="850" w:type="dxa"/>
            <w:vAlign w:val="center"/>
          </w:tcPr>
          <w:p w14:paraId="317C5D2A" w14:textId="1984291A" w:rsidR="00BE3F70" w:rsidRPr="00B203A1" w:rsidRDefault="00BE3F70" w:rsidP="00BE3F70">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0B0EE5A2" w14:textId="77777777" w:rsidR="00BE3F70" w:rsidRPr="00B203A1" w:rsidRDefault="00BE3F70" w:rsidP="00BE3F70">
            <w:pPr>
              <w:rPr>
                <w:rFonts w:cstheme="minorHAnsi"/>
                <w:b/>
                <w:sz w:val="19"/>
                <w:szCs w:val="19"/>
                <w:lang w:val="es-CL" w:eastAsia="en-US"/>
              </w:rPr>
            </w:pPr>
          </w:p>
        </w:tc>
      </w:tr>
      <w:tr w:rsidR="00BE3F70" w:rsidRPr="004F6B61" w14:paraId="2DC86634" w14:textId="77777777" w:rsidTr="00214612">
        <w:trPr>
          <w:trHeight w:val="840"/>
          <w:jc w:val="center"/>
        </w:trPr>
        <w:tc>
          <w:tcPr>
            <w:tcW w:w="1996" w:type="dxa"/>
            <w:vMerge w:val="restart"/>
            <w:vAlign w:val="center"/>
            <w:hideMark/>
          </w:tcPr>
          <w:p w14:paraId="6D732D8D" w14:textId="41B91E7B" w:rsidR="00BE3F70" w:rsidRPr="00382B9F" w:rsidRDefault="00BE3F70" w:rsidP="00BE3F70">
            <w:pPr>
              <w:rPr>
                <w:rFonts w:cstheme="minorHAnsi"/>
                <w:b/>
                <w:sz w:val="20"/>
                <w:szCs w:val="22"/>
                <w:highlight w:val="yellow"/>
                <w:lang w:val="es-CL" w:eastAsia="en-US"/>
              </w:rPr>
            </w:pPr>
            <w:r w:rsidRPr="000777E1">
              <w:rPr>
                <w:rFonts w:cstheme="minorHAnsi"/>
                <w:b/>
                <w:sz w:val="20"/>
                <w:szCs w:val="20"/>
              </w:rPr>
              <w:t>4. Pertenecer a los territorios que componen las comunas de Gral. Lagos, Putre o Camarones.</w:t>
            </w:r>
          </w:p>
        </w:tc>
        <w:tc>
          <w:tcPr>
            <w:tcW w:w="9072" w:type="dxa"/>
            <w:vAlign w:val="center"/>
          </w:tcPr>
          <w:p w14:paraId="76A771A8" w14:textId="75D3320B" w:rsidR="00BE3F70" w:rsidRPr="00BE3F70" w:rsidRDefault="00BE3F70" w:rsidP="00BE3F70">
            <w:pPr>
              <w:jc w:val="both"/>
              <w:rPr>
                <w:rFonts w:cstheme="minorHAnsi"/>
                <w:sz w:val="20"/>
              </w:rPr>
            </w:pPr>
            <w:r w:rsidRPr="00BE3F70">
              <w:rPr>
                <w:rFonts w:eastAsiaTheme="minorEastAsia" w:cstheme="minorBidi"/>
                <w:color w:val="000000"/>
                <w:kern w:val="24"/>
                <w:sz w:val="18"/>
                <w:szCs w:val="18"/>
              </w:rPr>
              <w:t>Empresa pertenece a los territorios que componen las comunas de Gral. Lagos, Putre o Camarones.</w:t>
            </w:r>
          </w:p>
        </w:tc>
        <w:tc>
          <w:tcPr>
            <w:tcW w:w="850" w:type="dxa"/>
            <w:vAlign w:val="center"/>
          </w:tcPr>
          <w:p w14:paraId="10C03F7B" w14:textId="4233B646" w:rsidR="00BE3F70" w:rsidRPr="00EC5053" w:rsidRDefault="00BE3F70" w:rsidP="00BE3F70">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BE3F70" w:rsidRPr="00B203A1" w:rsidRDefault="00BE3F70" w:rsidP="00BE3F70">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BE3F70" w:rsidRPr="004F6B61" w14:paraId="239B34C1" w14:textId="77777777" w:rsidTr="00214612">
        <w:trPr>
          <w:trHeight w:val="781"/>
          <w:jc w:val="center"/>
        </w:trPr>
        <w:tc>
          <w:tcPr>
            <w:tcW w:w="1996" w:type="dxa"/>
            <w:vMerge/>
            <w:vAlign w:val="center"/>
            <w:hideMark/>
          </w:tcPr>
          <w:p w14:paraId="7C0596DA" w14:textId="77777777" w:rsidR="00BE3F70" w:rsidRPr="00EC5053" w:rsidRDefault="00BE3F70" w:rsidP="00BE3F70">
            <w:pPr>
              <w:rPr>
                <w:rFonts w:cstheme="minorHAnsi"/>
                <w:sz w:val="20"/>
                <w:szCs w:val="22"/>
                <w:lang w:val="es-CL" w:eastAsia="en-US"/>
              </w:rPr>
            </w:pPr>
          </w:p>
        </w:tc>
        <w:tc>
          <w:tcPr>
            <w:tcW w:w="9072" w:type="dxa"/>
            <w:vAlign w:val="center"/>
          </w:tcPr>
          <w:p w14:paraId="7D7931B6" w14:textId="54E47305" w:rsidR="00BE3F70" w:rsidRPr="00BE3F70" w:rsidRDefault="00BE3F70" w:rsidP="00BE3F70">
            <w:pPr>
              <w:jc w:val="both"/>
              <w:rPr>
                <w:rFonts w:cstheme="minorHAnsi"/>
                <w:sz w:val="20"/>
              </w:rPr>
            </w:pPr>
            <w:r w:rsidRPr="00BE3F70">
              <w:rPr>
                <w:rFonts w:eastAsiaTheme="minorEastAsia" w:cstheme="minorBidi"/>
                <w:color w:val="000000"/>
                <w:kern w:val="24"/>
                <w:sz w:val="18"/>
                <w:szCs w:val="18"/>
              </w:rPr>
              <w:t>Empresa No pertenece a los territorios que componen las comunas de Gral. Lagos, Putre o Camarones.</w:t>
            </w:r>
          </w:p>
        </w:tc>
        <w:tc>
          <w:tcPr>
            <w:tcW w:w="850" w:type="dxa"/>
            <w:vAlign w:val="center"/>
          </w:tcPr>
          <w:p w14:paraId="2D751186" w14:textId="5B1D6D9E" w:rsidR="00BE3F70" w:rsidRPr="00EC5053" w:rsidRDefault="00BE3F70" w:rsidP="00BE3F70">
            <w:pPr>
              <w:jc w:val="center"/>
              <w:rPr>
                <w:rFonts w:cstheme="minorHAnsi"/>
                <w:sz w:val="20"/>
                <w:szCs w:val="22"/>
                <w:lang w:val="es-CL" w:eastAsia="en-US"/>
              </w:rPr>
            </w:pPr>
            <w:r>
              <w:rPr>
                <w:rFonts w:cstheme="minorHAnsi"/>
                <w:sz w:val="20"/>
                <w:szCs w:val="22"/>
                <w:lang w:val="es-CL" w:eastAsia="en-US"/>
              </w:rPr>
              <w:t>1</w:t>
            </w:r>
          </w:p>
        </w:tc>
        <w:tc>
          <w:tcPr>
            <w:tcW w:w="1335" w:type="dxa"/>
            <w:vMerge/>
            <w:vAlign w:val="center"/>
            <w:hideMark/>
          </w:tcPr>
          <w:p w14:paraId="7F2E05A3" w14:textId="77777777" w:rsidR="00BE3F70" w:rsidRPr="00EC5053" w:rsidRDefault="00BE3F70" w:rsidP="00BE3F70">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253A" w14:textId="77777777" w:rsidR="00210A9C" w:rsidRDefault="00210A9C" w:rsidP="0042236C">
      <w:r>
        <w:separator/>
      </w:r>
    </w:p>
  </w:endnote>
  <w:endnote w:type="continuationSeparator" w:id="0">
    <w:p w14:paraId="27656160" w14:textId="77777777" w:rsidR="00210A9C" w:rsidRDefault="00210A9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F0A117F" w:rsidR="006B2322" w:rsidRPr="00BD14F7" w:rsidRDefault="006B2322">
    <w:pPr>
      <w:pStyle w:val="Piedepgina"/>
      <w:jc w:val="right"/>
    </w:pPr>
    <w:r w:rsidRPr="00BD14F7">
      <w:fldChar w:fldCharType="begin"/>
    </w:r>
    <w:r w:rsidRPr="00BD14F7">
      <w:instrText>PAGE   \* MERGEFORMAT</w:instrText>
    </w:r>
    <w:r w:rsidRPr="00BD14F7">
      <w:fldChar w:fldCharType="separate"/>
    </w:r>
    <w:r w:rsidR="005F141F">
      <w:rPr>
        <w:noProof/>
      </w:rPr>
      <w:t>13</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A978" w14:textId="77777777" w:rsidR="00210A9C" w:rsidRDefault="00210A9C"/>
  </w:footnote>
  <w:footnote w:type="continuationSeparator" w:id="0">
    <w:p w14:paraId="52F5A611" w14:textId="77777777" w:rsidR="00210A9C" w:rsidRDefault="00210A9C"/>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1F20"/>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0A9C"/>
    <w:rsid w:val="002110B5"/>
    <w:rsid w:val="00211D51"/>
    <w:rsid w:val="00212110"/>
    <w:rsid w:val="00212532"/>
    <w:rsid w:val="002135FE"/>
    <w:rsid w:val="00213D55"/>
    <w:rsid w:val="00214612"/>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3F8"/>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5B8"/>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2B9F"/>
    <w:rsid w:val="0038346E"/>
    <w:rsid w:val="003834DB"/>
    <w:rsid w:val="00383AE7"/>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41F"/>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438D"/>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6D"/>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0DCA"/>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28CB"/>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6AE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5FF"/>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2BC2"/>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1BC"/>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97BA4"/>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483"/>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3F70"/>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2CC6"/>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098C"/>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0A0"/>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D5E"/>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zeus.sii.cl/dii_doc/carpeta_tributaria/html/index.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chequeodigital.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459EDBA-CECB-4666-AF48-F2DB9889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43</Pages>
  <Words>13533</Words>
  <Characters>74435</Characters>
  <Application>Microsoft Office Word</Application>
  <DocSecurity>0</DocSecurity>
  <Lines>620</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87793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48</cp:revision>
  <cp:lastPrinted>2021-08-17T22:54:00Z</cp:lastPrinted>
  <dcterms:created xsi:type="dcterms:W3CDTF">2021-08-16T02:27:00Z</dcterms:created>
  <dcterms:modified xsi:type="dcterms:W3CDTF">2021-08-17T22:56:00Z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