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94" w:rsidRDefault="00254E9D">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1D4594" w:rsidRDefault="001D4594">
      <w:pPr>
        <w:ind w:left="426"/>
        <w:rPr>
          <w:rFonts w:ascii="Garamond" w:eastAsia="Garamond" w:hAnsi="Garamond" w:cs="Garamond"/>
          <w:b/>
          <w:sz w:val="24"/>
          <w:szCs w:val="24"/>
        </w:rPr>
      </w:pPr>
    </w:p>
    <w:p w:rsidR="001D4594" w:rsidRDefault="001D4594">
      <w:pPr>
        <w:ind w:left="2880"/>
        <w:rPr>
          <w:rFonts w:ascii="Garamond" w:eastAsia="Garamond" w:hAnsi="Garamond" w:cs="Garamond"/>
          <w:b/>
          <w:sz w:val="24"/>
          <w:szCs w:val="24"/>
        </w:rPr>
      </w:pPr>
    </w:p>
    <w:p w:rsidR="001D4594" w:rsidRDefault="001D4594">
      <w:pPr>
        <w:ind w:left="2880"/>
        <w:rPr>
          <w:rFonts w:ascii="Garamond" w:eastAsia="Garamond" w:hAnsi="Garamond" w:cs="Garamond"/>
          <w:b/>
        </w:rPr>
      </w:pPr>
    </w:p>
    <w:p w:rsidR="001D4594" w:rsidRDefault="001D4594">
      <w:pPr>
        <w:spacing w:before="240" w:after="240"/>
        <w:jc w:val="center"/>
        <w:rPr>
          <w:rFonts w:ascii="Garamond" w:eastAsia="Garamond" w:hAnsi="Garamond" w:cs="Garamond"/>
          <w:b/>
          <w:u w:val="single"/>
        </w:rPr>
      </w:pPr>
    </w:p>
    <w:p w:rsidR="001D4594" w:rsidRDefault="001D4594">
      <w:pPr>
        <w:spacing w:before="240" w:after="240"/>
        <w:jc w:val="center"/>
        <w:rPr>
          <w:rFonts w:ascii="Garamond" w:eastAsia="Garamond" w:hAnsi="Garamond" w:cs="Garamond"/>
          <w:b/>
          <w:u w:val="single"/>
        </w:rPr>
      </w:pPr>
    </w:p>
    <w:p w:rsidR="001D4594" w:rsidRDefault="001D4594">
      <w:pPr>
        <w:spacing w:before="240" w:after="240"/>
        <w:jc w:val="center"/>
        <w:rPr>
          <w:rFonts w:ascii="Garamond" w:eastAsia="Garamond" w:hAnsi="Garamond" w:cs="Garamond"/>
          <w:b/>
          <w:u w:val="single"/>
        </w:rPr>
      </w:pPr>
    </w:p>
    <w:p w:rsidR="001D4594" w:rsidRDefault="00254E9D">
      <w:pPr>
        <w:spacing w:before="240" w:after="240"/>
        <w:jc w:val="center"/>
        <w:rPr>
          <w:rFonts w:ascii="gobCL" w:eastAsia="gobCL" w:hAnsi="gobCL" w:cs="gobCL"/>
          <w:b/>
          <w:color w:val="000000"/>
          <w:sz w:val="26"/>
          <w:szCs w:val="26"/>
        </w:rPr>
      </w:pPr>
      <w:r>
        <w:rPr>
          <w:rFonts w:ascii="gobCL" w:eastAsia="gobCL" w:hAnsi="gobCL" w:cs="gobCL"/>
          <w:b/>
          <w:color w:val="000000"/>
          <w:sz w:val="26"/>
          <w:szCs w:val="26"/>
        </w:rPr>
        <w:t>BASES DE CONVOCATORIA: PROGRAMA ESPECIAL PARA LA INDUSTRIA DE LA BELLEZA</w:t>
      </w:r>
    </w:p>
    <w:p w:rsidR="001D4594" w:rsidRDefault="00254E9D">
      <w:pPr>
        <w:tabs>
          <w:tab w:val="left" w:pos="1650"/>
          <w:tab w:val="center" w:pos="4419"/>
        </w:tabs>
        <w:spacing w:before="240" w:after="240"/>
        <w:jc w:val="center"/>
        <w:rPr>
          <w:rFonts w:ascii="gobCL" w:eastAsia="gobCL" w:hAnsi="gobCL" w:cs="gobCL"/>
          <w:b/>
          <w:color w:val="000000"/>
          <w:sz w:val="36"/>
          <w:szCs w:val="36"/>
        </w:rPr>
      </w:pPr>
      <w:bookmarkStart w:id="1" w:name="_heading=h.2et92p0" w:colFirst="0" w:colLast="0"/>
      <w:bookmarkEnd w:id="1"/>
      <w:r>
        <w:rPr>
          <w:rFonts w:ascii="gobCL" w:eastAsia="gobCL" w:hAnsi="gobCL" w:cs="gobCL"/>
          <w:b/>
          <w:color w:val="000000"/>
          <w:sz w:val="36"/>
          <w:szCs w:val="36"/>
        </w:rPr>
        <w:t>REACTIVATE INDUSTRIA DE LA BELLEZA</w:t>
      </w:r>
    </w:p>
    <w:p w:rsidR="001D4594" w:rsidRDefault="00254E9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Biobío</w:t>
      </w:r>
    </w:p>
    <w:p w:rsidR="001D4594" w:rsidRDefault="001D4594">
      <w:pPr>
        <w:tabs>
          <w:tab w:val="left" w:pos="1650"/>
          <w:tab w:val="center" w:pos="4419"/>
        </w:tabs>
        <w:spacing w:before="240" w:after="240"/>
        <w:rPr>
          <w:rFonts w:ascii="gobCL" w:eastAsia="gobCL" w:hAnsi="gobCL" w:cs="gobCL"/>
          <w:b/>
          <w:color w:val="000000"/>
          <w:sz w:val="36"/>
          <w:szCs w:val="36"/>
        </w:rPr>
      </w:pPr>
    </w:p>
    <w:p w:rsidR="001D4594" w:rsidRDefault="001D4594">
      <w:pPr>
        <w:tabs>
          <w:tab w:val="left" w:pos="1650"/>
          <w:tab w:val="center" w:pos="4419"/>
        </w:tabs>
        <w:spacing w:before="240" w:after="240"/>
        <w:jc w:val="center"/>
        <w:rPr>
          <w:rFonts w:ascii="gobCL" w:eastAsia="gobCL" w:hAnsi="gobCL" w:cs="gobCL"/>
          <w:b/>
          <w:color w:val="000000"/>
          <w:sz w:val="36"/>
          <w:szCs w:val="36"/>
        </w:rPr>
      </w:pPr>
    </w:p>
    <w:p w:rsidR="001D4594" w:rsidRDefault="001D4594">
      <w:pPr>
        <w:tabs>
          <w:tab w:val="left" w:pos="1650"/>
          <w:tab w:val="center" w:pos="4419"/>
        </w:tabs>
        <w:spacing w:before="240" w:after="240"/>
        <w:jc w:val="center"/>
        <w:rPr>
          <w:rFonts w:ascii="gobCL" w:eastAsia="gobCL" w:hAnsi="gobCL" w:cs="gobCL"/>
          <w:b/>
          <w:color w:val="000000"/>
          <w:sz w:val="36"/>
          <w:szCs w:val="36"/>
        </w:rPr>
      </w:pPr>
    </w:p>
    <w:p w:rsidR="001D4594" w:rsidRDefault="001D4594">
      <w:pPr>
        <w:tabs>
          <w:tab w:val="left" w:pos="1650"/>
          <w:tab w:val="center" w:pos="4419"/>
        </w:tabs>
        <w:spacing w:before="240" w:after="240"/>
        <w:jc w:val="center"/>
        <w:rPr>
          <w:rFonts w:ascii="gobCL" w:eastAsia="gobCL" w:hAnsi="gobCL" w:cs="gobCL"/>
          <w:b/>
          <w:color w:val="000000"/>
          <w:sz w:val="36"/>
          <w:szCs w:val="36"/>
        </w:rPr>
      </w:pPr>
    </w:p>
    <w:p w:rsidR="001D4594" w:rsidRDefault="001D4594">
      <w:pPr>
        <w:tabs>
          <w:tab w:val="left" w:pos="1650"/>
          <w:tab w:val="center" w:pos="4419"/>
        </w:tabs>
        <w:spacing w:before="240" w:after="240"/>
        <w:jc w:val="center"/>
        <w:rPr>
          <w:rFonts w:ascii="gobCL" w:eastAsia="gobCL" w:hAnsi="gobCL" w:cs="gobCL"/>
          <w:b/>
          <w:color w:val="000000"/>
          <w:sz w:val="36"/>
          <w:szCs w:val="36"/>
        </w:rPr>
      </w:pPr>
    </w:p>
    <w:p w:rsidR="001D4594" w:rsidRDefault="00254E9D">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w:t>
      </w:r>
      <w:r>
        <w:rPr>
          <w:rFonts w:ascii="gobCL" w:eastAsia="gobCL" w:hAnsi="gobCL" w:cs="gobCL"/>
          <w:b/>
          <w:sz w:val="28"/>
          <w:szCs w:val="28"/>
        </w:rPr>
        <w:t>l</w:t>
      </w:r>
      <w:r>
        <w:rPr>
          <w:rFonts w:ascii="gobCL" w:eastAsia="gobCL" w:hAnsi="gobCL" w:cs="gobCL"/>
          <w:b/>
          <w:color w:val="000000"/>
          <w:sz w:val="28"/>
          <w:szCs w:val="28"/>
        </w:rPr>
        <w:t>io de 2021</w:t>
      </w:r>
    </w:p>
    <w:p w:rsidR="001D4594" w:rsidRDefault="00254E9D">
      <w:pPr>
        <w:rPr>
          <w:rFonts w:ascii="gobCL" w:eastAsia="gobCL" w:hAnsi="gobCL" w:cs="gobCL"/>
          <w:b/>
        </w:rPr>
      </w:pPr>
      <w:r>
        <w:br w:type="page"/>
      </w:r>
      <w:r>
        <w:rPr>
          <w:rFonts w:ascii="gobCL" w:eastAsia="gobCL" w:hAnsi="gobCL" w:cs="gobCL"/>
          <w:b/>
        </w:rPr>
        <w:lastRenderedPageBreak/>
        <w:t>1. Antecedentes del programa</w:t>
      </w:r>
    </w:p>
    <w:p w:rsidR="001D4594" w:rsidRDefault="00254E9D">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1D4594" w:rsidRDefault="00254E9D">
      <w:pPr>
        <w:spacing w:before="240" w:after="240"/>
        <w:jc w:val="both"/>
        <w:rPr>
          <w:rFonts w:ascii="gobCL" w:eastAsia="gobCL" w:hAnsi="gobCL" w:cs="gobCL"/>
          <w:color w:val="000000"/>
        </w:rPr>
      </w:pPr>
      <w:r>
        <w:rPr>
          <w:rFonts w:ascii="gobCL" w:eastAsia="gobCL" w:hAnsi="gobCL" w:cs="gobCL"/>
          <w:color w:val="000000"/>
        </w:rPr>
        <w:t>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1D4594" w:rsidRDefault="00254E9D">
      <w:pPr>
        <w:spacing w:before="240" w:after="240"/>
        <w:jc w:val="both"/>
        <w:rPr>
          <w:rFonts w:ascii="gobCL" w:eastAsia="gobCL" w:hAnsi="gobCL" w:cs="gobCL"/>
          <w:color w:val="000000"/>
        </w:rPr>
      </w:pPr>
      <w:r>
        <w:rPr>
          <w:rFonts w:ascii="gobCL" w:eastAsia="gobCL" w:hAnsi="gobCL" w:cs="gobCL"/>
          <w:color w:val="000000"/>
        </w:rPr>
        <w:t>Diferentes agrupaciones gremiales del Sector de la Belleza, estiman una disminución de los ingresos de las empresas y profesionales que ejercen esta actividad, en a lo menos un 72%</w:t>
      </w:r>
    </w:p>
    <w:p w:rsidR="001D4594" w:rsidRDefault="00254E9D">
      <w:pPr>
        <w:spacing w:before="240" w:after="240"/>
        <w:jc w:val="both"/>
        <w:rPr>
          <w:rFonts w:ascii="gobCL" w:eastAsia="gobCL" w:hAnsi="gobCL" w:cs="gobCL"/>
          <w:color w:val="000000"/>
        </w:rPr>
      </w:pPr>
      <w:r>
        <w:rPr>
          <w:rFonts w:ascii="gobCL" w:eastAsia="gobCL" w:hAnsi="gobCL" w:cs="gobCL"/>
          <w:color w:val="000000"/>
        </w:rPr>
        <w:t>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1D4594" w:rsidRDefault="00254E9D">
      <w:pPr>
        <w:spacing w:before="240" w:after="240"/>
        <w:jc w:val="both"/>
        <w:rPr>
          <w:rFonts w:ascii="gobCL" w:eastAsia="gobCL" w:hAnsi="gobCL" w:cs="gobCL"/>
          <w:b/>
        </w:rPr>
      </w:pPr>
      <w:r>
        <w:rPr>
          <w:rFonts w:ascii="gobCL" w:eastAsia="gobCL" w:hAnsi="gobCL" w:cs="gobCL"/>
          <w:b/>
        </w:rPr>
        <w:t>2. ¿Qué es?</w:t>
      </w:r>
    </w:p>
    <w:p w:rsidR="001D4594" w:rsidRDefault="00254E9D">
      <w:pPr>
        <w:spacing w:before="240" w:after="240"/>
        <w:jc w:val="both"/>
        <w:rPr>
          <w:rFonts w:ascii="gobCL" w:eastAsia="gobCL" w:hAnsi="gobCL" w:cs="gobCL"/>
        </w:rPr>
      </w:pPr>
      <w:r>
        <w:rPr>
          <w:rFonts w:ascii="gobCL" w:eastAsia="gobCL" w:hAnsi="gobCL" w:cs="gobCL"/>
        </w:rPr>
        <w:t>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Pr>
          <w:rFonts w:ascii="gobCL" w:eastAsia="gobCL" w:hAnsi="gobCL" w:cs="gobCL"/>
          <w:vertAlign w:val="superscript"/>
        </w:rPr>
        <w:footnoteReference w:id="1"/>
      </w:r>
      <w:r>
        <w:rPr>
          <w:rFonts w:ascii="gobCL" w:eastAsia="gobCL" w:hAnsi="gobCL" w:cs="gobCL"/>
        </w:rPr>
        <w:t>.</w:t>
      </w:r>
    </w:p>
    <w:p w:rsidR="001D4594" w:rsidRDefault="00254E9D">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1D4594" w:rsidRDefault="00254E9D">
      <w:pPr>
        <w:spacing w:before="240" w:after="240"/>
        <w:jc w:val="both"/>
        <w:rPr>
          <w:rFonts w:ascii="gobCL" w:eastAsia="gobCL" w:hAnsi="gobCL" w:cs="gobCL"/>
          <w:b/>
        </w:rPr>
      </w:pPr>
      <w:r>
        <w:rPr>
          <w:rFonts w:ascii="gobCL" w:eastAsia="gobCL" w:hAnsi="gobCL" w:cs="gobCL"/>
          <w:b/>
        </w:rPr>
        <w:t>* El cupo estimado para beneficiario/as de esta convocatoria es de 88 a nivel regional.</w:t>
      </w:r>
    </w:p>
    <w:p w:rsidR="001D4594" w:rsidRDefault="00254E9D">
      <w:pPr>
        <w:spacing w:before="240" w:after="240"/>
        <w:jc w:val="both"/>
        <w:rPr>
          <w:rFonts w:ascii="gobCL" w:eastAsia="gobCL" w:hAnsi="gobCL" w:cs="gobCL"/>
          <w:b/>
        </w:rPr>
      </w:pPr>
      <w:r>
        <w:rPr>
          <w:rFonts w:ascii="gobCL" w:eastAsia="gobCL" w:hAnsi="gobCL" w:cs="gobCL"/>
          <w:b/>
        </w:rPr>
        <w:t>2.1. Requisitos generales del programa.</w:t>
      </w:r>
    </w:p>
    <w:p w:rsidR="001D4594" w:rsidRDefault="00254E9D">
      <w:pPr>
        <w:spacing w:before="240" w:after="240"/>
        <w:jc w:val="both"/>
        <w:rPr>
          <w:rFonts w:ascii="gobCL" w:eastAsia="gobCL" w:hAnsi="gobCL" w:cs="gobCL"/>
        </w:rPr>
      </w:pPr>
      <w:bookmarkStart w:id="2" w:name="_heading=h.30j0zll" w:colFirst="0" w:colLast="0"/>
      <w:bookmarkEnd w:id="2"/>
      <w:r>
        <w:rPr>
          <w:rFonts w:ascii="gobCL" w:eastAsia="gobCL" w:hAnsi="gobCL" w:cs="gobCL"/>
        </w:rPr>
        <w:lastRenderedPageBreak/>
        <w:t xml:space="preserve">Este programa está dirigido a las empresas y personas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1D4594" w:rsidRDefault="00254E9D">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1D4594" w:rsidRDefault="00254E9D">
      <w:pPr>
        <w:numPr>
          <w:ilvl w:val="2"/>
          <w:numId w:val="8"/>
        </w:numPr>
        <w:pBdr>
          <w:top w:val="nil"/>
          <w:left w:val="nil"/>
          <w:bottom w:val="nil"/>
          <w:right w:val="nil"/>
          <w:between w:val="nil"/>
        </w:pBdr>
        <w:spacing w:before="240" w:after="240" w:line="276" w:lineRule="auto"/>
        <w:jc w:val="both"/>
        <w:rPr>
          <w:rFonts w:ascii="gobCL" w:eastAsia="gobCL" w:hAnsi="gobCL" w:cs="gobCL"/>
          <w:b/>
          <w:color w:val="000000"/>
          <w:u w:val="single"/>
        </w:rPr>
      </w:pPr>
      <w:r>
        <w:rPr>
          <w:rFonts w:ascii="gobCL" w:eastAsia="gobCL" w:hAnsi="gobCL" w:cs="gobCL"/>
          <w:b/>
          <w:color w:val="000000"/>
          <w:u w:val="single"/>
        </w:rPr>
        <w:t>a.- Admisibilidad automática:</w:t>
      </w: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a.1. Pueden acceder personas naturales y/o jurídicas, que tributan en primera o segunda categoría, pertenecientes a alguno de los siguientes códigos de actividad económica</w:t>
      </w:r>
      <w:r>
        <w:rPr>
          <w:rFonts w:ascii="gobCL" w:eastAsia="gobCL" w:hAnsi="gobCL" w:cs="gobCL"/>
          <w:color w:val="000000"/>
          <w:vertAlign w:val="superscript"/>
        </w:rPr>
        <w:footnoteReference w:id="2"/>
      </w:r>
      <w:r>
        <w:rPr>
          <w:rFonts w:ascii="gobCL" w:eastAsia="gobCL" w:hAnsi="gobCL" w:cs="gobCL"/>
          <w:color w:val="000000"/>
        </w:rPr>
        <w:t xml:space="preserve">: </w:t>
      </w:r>
    </w:p>
    <w:p w:rsidR="001D4594" w:rsidRDefault="001D4594">
      <w:pPr>
        <w:pBdr>
          <w:top w:val="nil"/>
          <w:left w:val="nil"/>
          <w:bottom w:val="nil"/>
          <w:right w:val="nil"/>
          <w:between w:val="nil"/>
        </w:pBdr>
        <w:spacing w:after="0" w:line="276" w:lineRule="auto"/>
        <w:ind w:left="709"/>
        <w:jc w:val="both"/>
        <w:rPr>
          <w:rFonts w:ascii="gobCL" w:eastAsia="gobCL" w:hAnsi="gobCL" w:cs="gobCL"/>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960200: Peluquería y otros tratamientos de belleza.</w:t>
      </w: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960902: Actividad de salones de masajes, baños públicos.</w:t>
      </w: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960901: Servicio adiestramiento, guardería, peluquería, paseo de mascota, (excepto act. veterinaria).</w:t>
      </w: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869091: Otros servicios de atención de la salud humana prestados por empresas.</w:t>
      </w: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960909: Otras actividades de servicios personales N.C.P.</w:t>
      </w: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869092: Servicios prestados de forma independiente por otros profesionales de la salud.</w:t>
      </w:r>
    </w:p>
    <w:p w:rsidR="001D4594" w:rsidRDefault="001D4594">
      <w:pPr>
        <w:pBdr>
          <w:top w:val="nil"/>
          <w:left w:val="nil"/>
          <w:bottom w:val="nil"/>
          <w:right w:val="nil"/>
          <w:between w:val="nil"/>
        </w:pBdr>
        <w:spacing w:after="0" w:line="276" w:lineRule="auto"/>
        <w:ind w:left="709"/>
        <w:jc w:val="both"/>
        <w:rPr>
          <w:rFonts w:ascii="gobCL" w:eastAsia="gobCL" w:hAnsi="gobCL" w:cs="gobCL"/>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a.2.</w:t>
      </w:r>
      <w:r>
        <w:t xml:space="preserve"> </w:t>
      </w:r>
      <w:r>
        <w:rPr>
          <w:rFonts w:ascii="gobCL" w:eastAsia="gobCL" w:hAnsi="gobCL" w:cs="gobCL"/>
          <w:color w:val="000000"/>
        </w:rPr>
        <w:t>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1D4594" w:rsidRDefault="001D4594">
      <w:pPr>
        <w:pBdr>
          <w:top w:val="nil"/>
          <w:left w:val="nil"/>
          <w:bottom w:val="nil"/>
          <w:right w:val="nil"/>
          <w:between w:val="nil"/>
        </w:pBdr>
        <w:spacing w:after="0" w:line="276" w:lineRule="auto"/>
        <w:ind w:left="709"/>
        <w:jc w:val="both"/>
        <w:rPr>
          <w:rFonts w:ascii="gobCL" w:eastAsia="gobCL" w:hAnsi="gobCL" w:cs="gobCL"/>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u w:val="single"/>
        </w:rPr>
      </w:pPr>
      <w:r>
        <w:rPr>
          <w:rFonts w:ascii="gobCL" w:eastAsia="gobCL" w:hAnsi="gobCL" w:cs="gobCL"/>
          <w:color w:val="000000"/>
          <w:u w:val="single"/>
        </w:rPr>
        <w:t>Personas naturales o jurídicas cono inicio de actividades en primera categoría, deberán cumplir también con los siguientes requisitos</w:t>
      </w:r>
      <w:r>
        <w:rPr>
          <w:rFonts w:ascii="gobCL" w:eastAsia="gobCL" w:hAnsi="gobCL" w:cs="gobCL"/>
          <w:color w:val="000000"/>
          <w:u w:val="single"/>
          <w:vertAlign w:val="superscript"/>
        </w:rPr>
        <w:footnoteReference w:id="3"/>
      </w:r>
      <w:r>
        <w:rPr>
          <w:rFonts w:ascii="gobCL" w:eastAsia="gobCL" w:hAnsi="gobCL" w:cs="gobCL"/>
          <w:color w:val="000000"/>
          <w:u w:val="single"/>
        </w:rPr>
        <w:t>:</w:t>
      </w:r>
    </w:p>
    <w:p w:rsidR="001D4594" w:rsidRDefault="001D4594">
      <w:pPr>
        <w:pBdr>
          <w:top w:val="nil"/>
          <w:left w:val="nil"/>
          <w:bottom w:val="nil"/>
          <w:right w:val="nil"/>
          <w:between w:val="nil"/>
        </w:pBdr>
        <w:spacing w:after="0"/>
        <w:ind w:left="720"/>
        <w:rPr>
          <w:rFonts w:ascii="gobCL" w:eastAsia="gobCL" w:hAnsi="gobCL" w:cs="gobCL"/>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a.3. No haber incumplido las obligaciones contractuales de un proyecto de Sercotec con el Agente Operador Sercotec (término anticipado de contrato por hecho o acto imputable al beneficiario/a), a la fecha de inicio de la convocatoria.</w:t>
      </w:r>
    </w:p>
    <w:p w:rsidR="001D4594" w:rsidRDefault="001D4594">
      <w:pPr>
        <w:pBdr>
          <w:top w:val="nil"/>
          <w:left w:val="nil"/>
          <w:bottom w:val="nil"/>
          <w:right w:val="nil"/>
          <w:between w:val="nil"/>
        </w:pBdr>
        <w:spacing w:after="0"/>
        <w:ind w:left="720"/>
        <w:rPr>
          <w:rFonts w:ascii="gobCL" w:eastAsia="gobCL" w:hAnsi="gobCL" w:cs="gobCL"/>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a.4. No haber sido condenado/a por prácticas antisindicales y/o por infracción a los derechos fundamentales del trabajador, dentro de los dos años anteriores a la fecha de la firma del contrato.</w:t>
      </w:r>
    </w:p>
    <w:p w:rsidR="001D4594" w:rsidRDefault="001D4594">
      <w:pPr>
        <w:pBdr>
          <w:top w:val="nil"/>
          <w:left w:val="nil"/>
          <w:bottom w:val="nil"/>
          <w:right w:val="nil"/>
          <w:between w:val="nil"/>
        </w:pBdr>
        <w:spacing w:after="0"/>
        <w:ind w:left="720"/>
        <w:rPr>
          <w:rFonts w:ascii="gobCL" w:eastAsia="gobCL" w:hAnsi="gobCL" w:cs="gobCL"/>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a.5. No tener rendiciones pendientes con Sercotec y/o con el Agente Operador, a la fecha la formalización.</w:t>
      </w:r>
    </w:p>
    <w:p w:rsidR="001D4594" w:rsidRDefault="001D4594">
      <w:pPr>
        <w:pBdr>
          <w:top w:val="nil"/>
          <w:left w:val="nil"/>
          <w:bottom w:val="nil"/>
          <w:right w:val="nil"/>
          <w:between w:val="nil"/>
        </w:pBdr>
        <w:spacing w:after="0" w:line="276" w:lineRule="auto"/>
        <w:ind w:left="709"/>
        <w:jc w:val="both"/>
        <w:rPr>
          <w:rFonts w:ascii="gobCL" w:eastAsia="gobCL" w:hAnsi="gobCL" w:cs="gobCL"/>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lastRenderedPageBreak/>
        <w:t>a.6. No haber sido beneficiario de convocatorias Reactívate 2021 (cualquier fuente financiamiento). Sercotec validará nuevamente esta condición al momento de formalizar.</w:t>
      </w:r>
    </w:p>
    <w:p w:rsidR="001D4594" w:rsidRDefault="001D4594">
      <w:pPr>
        <w:pBdr>
          <w:top w:val="nil"/>
          <w:left w:val="nil"/>
          <w:bottom w:val="nil"/>
          <w:right w:val="nil"/>
          <w:between w:val="nil"/>
        </w:pBdr>
        <w:spacing w:after="0" w:line="276" w:lineRule="auto"/>
        <w:ind w:left="709"/>
        <w:jc w:val="both"/>
        <w:rPr>
          <w:rFonts w:ascii="gobCL" w:eastAsia="gobCL" w:hAnsi="gobCL" w:cs="gobCL"/>
          <w:color w:val="000000"/>
        </w:rPr>
      </w:pPr>
    </w:p>
    <w:p w:rsidR="001D4594" w:rsidRDefault="00254E9D">
      <w:pPr>
        <w:numPr>
          <w:ilvl w:val="2"/>
          <w:numId w:val="9"/>
        </w:numPr>
        <w:pBdr>
          <w:top w:val="nil"/>
          <w:left w:val="nil"/>
          <w:bottom w:val="nil"/>
          <w:right w:val="nil"/>
          <w:between w:val="nil"/>
        </w:pBdr>
        <w:spacing w:after="0" w:line="276" w:lineRule="auto"/>
        <w:jc w:val="both"/>
        <w:rPr>
          <w:rFonts w:ascii="gobCL" w:eastAsia="gobCL" w:hAnsi="gobCL" w:cs="gobCL"/>
          <w:b/>
          <w:color w:val="000000"/>
          <w:u w:val="single"/>
        </w:rPr>
      </w:pPr>
      <w:r>
        <w:rPr>
          <w:rFonts w:ascii="gobCL" w:eastAsia="gobCL" w:hAnsi="gobCL" w:cs="gobCL"/>
          <w:b/>
          <w:color w:val="000000"/>
          <w:u w:val="single"/>
        </w:rPr>
        <w:t>b.-  Admisibilidad Manual:</w:t>
      </w:r>
    </w:p>
    <w:p w:rsidR="001D4594" w:rsidRDefault="001D4594">
      <w:pPr>
        <w:pBdr>
          <w:top w:val="nil"/>
          <w:left w:val="nil"/>
          <w:bottom w:val="nil"/>
          <w:right w:val="nil"/>
          <w:between w:val="nil"/>
        </w:pBdr>
        <w:spacing w:after="0"/>
        <w:ind w:left="709" w:hanging="283"/>
        <w:rPr>
          <w:rFonts w:ascii="gobCL" w:eastAsia="gobCL" w:hAnsi="gobCL" w:cs="gobCL"/>
          <w:b/>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b.1. Nivel de ventas.</w:t>
      </w:r>
    </w:p>
    <w:p w:rsidR="001D4594" w:rsidRDefault="001D4594">
      <w:pPr>
        <w:pBdr>
          <w:top w:val="nil"/>
          <w:left w:val="nil"/>
          <w:bottom w:val="nil"/>
          <w:right w:val="nil"/>
          <w:between w:val="nil"/>
        </w:pBdr>
        <w:spacing w:after="0" w:line="276" w:lineRule="auto"/>
        <w:ind w:left="709"/>
        <w:jc w:val="both"/>
        <w:rPr>
          <w:rFonts w:ascii="gobCL" w:eastAsia="gobCL" w:hAnsi="gobCL" w:cs="gobCL"/>
          <w:color w:val="000000"/>
        </w:rPr>
      </w:pPr>
    </w:p>
    <w:p w:rsidR="001D4594" w:rsidRDefault="00254E9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Las personas naturales y/o jurídicas con iniciación de actividades en primera categoría ante SII, deberán tener ventas netas anuales entre 0 y 25.000 UF.</w:t>
      </w:r>
    </w:p>
    <w:p w:rsidR="001D4594" w:rsidRDefault="00254E9D">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Pr>
          <w:rFonts w:ascii="gobCL" w:eastAsia="gobCL" w:hAnsi="gobCL" w:cs="gobCL"/>
        </w:rPr>
        <w:t>Mayo 2020 – Abril 2021.</w:t>
      </w:r>
    </w:p>
    <w:p w:rsidR="001D4594" w:rsidRDefault="00254E9D">
      <w:pPr>
        <w:spacing w:before="240" w:after="240" w:line="240" w:lineRule="auto"/>
        <w:ind w:left="720"/>
        <w:jc w:val="both"/>
        <w:rPr>
          <w:rFonts w:ascii="gobCL" w:eastAsia="gobCL" w:hAnsi="gobCL" w:cs="gobCL"/>
        </w:rPr>
      </w:pPr>
      <w:r>
        <w:rPr>
          <w:rFonts w:ascii="gobCL" w:eastAsia="gobCL" w:hAnsi="gobCL" w:cs="gobCL"/>
        </w:rPr>
        <w:t>Para el caso de personas naturales con inicio de actividades en segunda categoría ante SII, deberán tener ventas anuales entre 0 y 2.400 UF al año. Para comprobar este requisito, se distinguen dos casos:</w:t>
      </w:r>
    </w:p>
    <w:p w:rsidR="001D4594" w:rsidRDefault="00254E9D">
      <w:pPr>
        <w:numPr>
          <w:ilvl w:val="0"/>
          <w:numId w:val="13"/>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Para aquellos con inicio de actividades hasta el 31 de diciembre de 2020, se tomará el período enero-diciembre de 2020 (a través de Informe anual de emisión de boletas de honorarios 2020 que deberá adjuntar al momento de postular).</w:t>
      </w:r>
    </w:p>
    <w:p w:rsidR="001D4594" w:rsidRDefault="00254E9D">
      <w:pPr>
        <w:numPr>
          <w:ilvl w:val="0"/>
          <w:numId w:val="13"/>
        </w:numPr>
        <w:pBdr>
          <w:top w:val="nil"/>
          <w:left w:val="nil"/>
          <w:bottom w:val="nil"/>
          <w:right w:val="nil"/>
          <w:between w:val="nil"/>
        </w:pBdr>
        <w:rPr>
          <w:rFonts w:ascii="gobCL" w:eastAsia="gobCL" w:hAnsi="gobCL" w:cs="gobCL"/>
          <w:color w:val="000000"/>
        </w:rPr>
      </w:pPr>
      <w:r>
        <w:rPr>
          <w:rFonts w:ascii="gobCL" w:eastAsia="gobCL" w:hAnsi="gobCL" w:cs="gobCL"/>
          <w:color w:val="000000"/>
        </w:rPr>
        <w:t>Para aquellos con inicio de actividades posteriores al 31 de diciembre de 2020, se considera el período enero-marzo 2021 (a través de Informe anual de emisión de boletas de honorarios 2021 que deberá adjuntar al momento de postular).</w:t>
      </w:r>
    </w:p>
    <w:p w:rsidR="001D4594" w:rsidRDefault="00254E9D">
      <w:pPr>
        <w:pBdr>
          <w:top w:val="nil"/>
          <w:left w:val="nil"/>
          <w:bottom w:val="nil"/>
          <w:right w:val="nil"/>
          <w:between w:val="nil"/>
        </w:pBdr>
        <w:spacing w:after="0" w:line="240" w:lineRule="auto"/>
        <w:ind w:firstLine="720"/>
        <w:jc w:val="both"/>
        <w:rPr>
          <w:rFonts w:ascii="gobCL" w:eastAsia="gobCL" w:hAnsi="gobCL" w:cs="gobCL"/>
          <w:color w:val="000000"/>
        </w:rPr>
      </w:pPr>
      <w:r>
        <w:rPr>
          <w:rFonts w:ascii="gobCL" w:eastAsia="gobCL" w:hAnsi="gobCL" w:cs="gobCL"/>
          <w:color w:val="000000"/>
        </w:rPr>
        <w:t>b.2. No ser cooperativas, así como sociedades de hecho y/o comunidades hereditarias.</w:t>
      </w:r>
    </w:p>
    <w:p w:rsidR="001D4594" w:rsidRDefault="001D4594">
      <w:pPr>
        <w:pBdr>
          <w:top w:val="nil"/>
          <w:left w:val="nil"/>
          <w:bottom w:val="nil"/>
          <w:right w:val="nil"/>
          <w:between w:val="nil"/>
        </w:pBdr>
        <w:spacing w:after="0" w:line="240" w:lineRule="auto"/>
        <w:ind w:firstLine="720"/>
        <w:jc w:val="both"/>
        <w:rPr>
          <w:rFonts w:ascii="gobCL" w:eastAsia="gobCL" w:hAnsi="gobCL" w:cs="gobCL"/>
          <w:color w:val="000000"/>
        </w:rPr>
      </w:pPr>
    </w:p>
    <w:p w:rsidR="001D4594" w:rsidRDefault="00254E9D">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1D4594" w:rsidRDefault="001D4594">
      <w:pPr>
        <w:pBdr>
          <w:top w:val="nil"/>
          <w:left w:val="nil"/>
          <w:bottom w:val="nil"/>
          <w:right w:val="nil"/>
          <w:between w:val="nil"/>
        </w:pBdr>
        <w:spacing w:after="0" w:line="240" w:lineRule="auto"/>
        <w:ind w:left="720"/>
        <w:jc w:val="both"/>
        <w:rPr>
          <w:rFonts w:ascii="gobCL" w:eastAsia="gobCL" w:hAnsi="gobCL" w:cs="gobCL"/>
          <w:b/>
        </w:rPr>
      </w:pPr>
    </w:p>
    <w:tbl>
      <w:tblPr>
        <w:tblStyle w:val="aff7"/>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1D4594">
        <w:tc>
          <w:tcPr>
            <w:tcW w:w="8931" w:type="dxa"/>
            <w:shd w:val="clear" w:color="auto" w:fill="D9D9D9"/>
          </w:tcPr>
          <w:p w:rsidR="001D4594" w:rsidRDefault="00254E9D">
            <w:pPr>
              <w:jc w:val="both"/>
              <w:rPr>
                <w:rFonts w:ascii="gobCL" w:eastAsia="gobCL" w:hAnsi="gobCL" w:cs="gobCL"/>
                <w:sz w:val="22"/>
                <w:szCs w:val="22"/>
              </w:rPr>
            </w:pPr>
            <w:r>
              <w:rPr>
                <w:rFonts w:ascii="gobCL" w:eastAsia="gobCL" w:hAnsi="gobCL" w:cs="gobCL"/>
                <w:sz w:val="22"/>
                <w:szCs w:val="22"/>
              </w:rPr>
              <w:t>IMPORTANTE</w:t>
            </w:r>
          </w:p>
          <w:p w:rsidR="001D4594" w:rsidRDefault="00254E9D">
            <w:pPr>
              <w:jc w:val="both"/>
              <w:rPr>
                <w:rFonts w:ascii="gobCL" w:eastAsia="gobCL" w:hAnsi="gobCL" w:cs="gobCL"/>
                <w:sz w:val="22"/>
                <w:szCs w:val="22"/>
              </w:rPr>
            </w:pPr>
            <w:r>
              <w:rPr>
                <w:rFonts w:ascii="gobCL" w:eastAsia="gobCL" w:hAnsi="gobCL" w:cs="gobCL"/>
                <w:sz w:val="22"/>
                <w:szCs w:val="22"/>
              </w:rPr>
              <w:t>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1D4594" w:rsidRDefault="00254E9D">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1D4594" w:rsidRDefault="00254E9D">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Tener domicilio comercial o personal, según corresponda, en la región de la presente convocatoria.</w:t>
      </w:r>
    </w:p>
    <w:p w:rsidR="001D4594" w:rsidRDefault="00254E9D">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 xml:space="preserve">Suscripción de Declaración Jurada de Probidad según el 2.2. de las bases (Anexo N°3).  </w:t>
      </w:r>
    </w:p>
    <w:p w:rsidR="001D4594" w:rsidRDefault="00254E9D">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p w:rsidR="001D4594" w:rsidRDefault="00254E9D">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Suscripción de la Declaración Jurada simple de pertenencia a los giros económicos focalizados (Anexo N° 5)</w:t>
      </w:r>
    </w:p>
    <w:p w:rsidR="001D4594" w:rsidRDefault="00254E9D">
      <w:pPr>
        <w:spacing w:before="240" w:after="240"/>
        <w:jc w:val="both"/>
        <w:rPr>
          <w:rFonts w:ascii="gobCL" w:eastAsia="gobCL" w:hAnsi="gobCL" w:cs="gobCL"/>
          <w:u w:val="single"/>
        </w:rPr>
      </w:pPr>
      <w:r>
        <w:rPr>
          <w:rFonts w:ascii="gobCL" w:eastAsia="gobCL" w:hAnsi="gobCL" w:cs="gobCL"/>
          <w:u w:val="single"/>
        </w:rPr>
        <w:t>Las personas naturales o jurídicas con inicio de actividades en primera categoría deberán además cumplir con los siguientes requisitos al momento de formalizar:</w:t>
      </w:r>
    </w:p>
    <w:p w:rsidR="001D4594" w:rsidRDefault="00254E9D">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1D4594" w:rsidRDefault="00254E9D">
      <w:pPr>
        <w:numPr>
          <w:ilvl w:val="0"/>
          <w:numId w:val="12"/>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No haber sido beneficiario de convocatorias Reactívate 2021 (cualquier fuente de financiamiento).</w:t>
      </w:r>
    </w:p>
    <w:p w:rsidR="001D4594" w:rsidRDefault="00254E9D">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1D4594" w:rsidRDefault="00254E9D">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1D4594" w:rsidRDefault="00254E9D">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1D4594" w:rsidRDefault="00254E9D">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1D4594" w:rsidRDefault="00254E9D">
      <w:pPr>
        <w:numPr>
          <w:ilvl w:val="0"/>
          <w:numId w:val="12"/>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1D4594" w:rsidRDefault="00254E9D">
      <w:pPr>
        <w:spacing w:before="240" w:after="240"/>
        <w:jc w:val="both"/>
        <w:rPr>
          <w:rFonts w:ascii="gobCL" w:eastAsia="gobCL" w:hAnsi="gobCL" w:cs="gobCL"/>
          <w:b/>
        </w:rPr>
      </w:pPr>
      <w:r>
        <w:rPr>
          <w:rFonts w:ascii="gobCL" w:eastAsia="gobCL" w:hAnsi="gobCL" w:cs="gobCL"/>
          <w:b/>
        </w:rPr>
        <w:t>2.2. ¿Quiénes NO pueden participar del programa?</w:t>
      </w:r>
    </w:p>
    <w:p w:rsidR="001D4594" w:rsidRDefault="00254E9D">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4"/>
      </w:r>
      <w:r>
        <w:rPr>
          <w:rFonts w:ascii="gobCL" w:eastAsia="gobCL" w:hAnsi="gobCL" w:cs="gobCL"/>
        </w:rPr>
        <w:t>:</w:t>
      </w:r>
    </w:p>
    <w:p w:rsidR="001D4594" w:rsidRDefault="00254E9D">
      <w:pPr>
        <w:numPr>
          <w:ilvl w:val="0"/>
          <w:numId w:val="2"/>
        </w:numPr>
        <w:spacing w:before="240" w:after="240" w:line="240" w:lineRule="auto"/>
        <w:jc w:val="both"/>
        <w:rPr>
          <w:rFonts w:ascii="gobCL" w:eastAsia="gobCL" w:hAnsi="gobCL" w:cs="gobCL"/>
        </w:rPr>
      </w:pPr>
      <w:r>
        <w:rPr>
          <w:rFonts w:ascii="gobCL" w:eastAsia="gobCL" w:hAnsi="gobCL" w:cs="gobCL"/>
        </w:rPr>
        <w:lastRenderedPageBreak/>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1D4594" w:rsidRDefault="00254E9D">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1D4594" w:rsidRDefault="00254E9D">
      <w:pPr>
        <w:numPr>
          <w:ilvl w:val="0"/>
          <w:numId w:val="2"/>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1D4594" w:rsidRDefault="00254E9D">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1D4594" w:rsidRDefault="00254E9D">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1D4594" w:rsidRDefault="00254E9D">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1D4594" w:rsidRDefault="00254E9D">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1D4594" w:rsidRDefault="00254E9D">
      <w:pPr>
        <w:spacing w:before="240" w:after="240"/>
        <w:jc w:val="both"/>
        <w:rPr>
          <w:rFonts w:ascii="gobCL" w:eastAsia="gobCL" w:hAnsi="gobCL" w:cs="gobCL"/>
          <w:b/>
        </w:rPr>
      </w:pPr>
      <w:r>
        <w:rPr>
          <w:rFonts w:ascii="gobCL" w:eastAsia="gobCL" w:hAnsi="gobCL" w:cs="gobCL"/>
          <w:b/>
        </w:rPr>
        <w:t>2.3. ¿En qué consiste?</w:t>
      </w:r>
    </w:p>
    <w:p w:rsidR="001D4594" w:rsidRDefault="00254E9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$1.500.000 (un millón quinientos mil pesos) y</w:t>
      </w:r>
      <w:r>
        <w:rPr>
          <w:rFonts w:ascii="gobCL" w:eastAsia="gobCL" w:hAnsi="gobCL" w:cs="gobCL"/>
          <w:color w:val="000000"/>
        </w:rPr>
        <w:t xml:space="preserve"> </w:t>
      </w:r>
      <w:r>
        <w:rPr>
          <w:rFonts w:ascii="gobCL" w:eastAsia="gobCL" w:hAnsi="gobCL" w:cs="gobCL"/>
          <w:b/>
        </w:rPr>
        <w:t>$3.000.000</w:t>
      </w:r>
      <w:r>
        <w:rPr>
          <w:rFonts w:ascii="gobCL" w:eastAsia="gobCL" w:hAnsi="gobCL" w:cs="gobCL"/>
          <w:b/>
          <w:color w:val="000000"/>
        </w:rPr>
        <w:t xml:space="preserve"> (tres millones de pesos),</w:t>
      </w:r>
      <w:r>
        <w:rPr>
          <w:rFonts w:ascii="gobCL" w:eastAsia="gobCL" w:hAnsi="gobCL" w:cs="gobCL"/>
          <w:color w:val="000000"/>
        </w:rPr>
        <w:t xml:space="preserve"> que busca reactivar la actividad económica de los beneficiarios, a través de la implementación de un Plan de Compras.</w:t>
      </w:r>
    </w:p>
    <w:p w:rsidR="001D4594" w:rsidRDefault="00254E9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1D4594" w:rsidRDefault="00254E9D">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1D4594" w:rsidRDefault="00254E9D">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1D4594" w:rsidRDefault="001D4594">
      <w:pPr>
        <w:pBdr>
          <w:top w:val="nil"/>
          <w:left w:val="nil"/>
          <w:bottom w:val="nil"/>
          <w:right w:val="nil"/>
          <w:between w:val="nil"/>
        </w:pBdr>
        <w:spacing w:after="0" w:line="240" w:lineRule="auto"/>
        <w:ind w:left="1440"/>
        <w:jc w:val="both"/>
        <w:rPr>
          <w:rFonts w:ascii="gobCL" w:eastAsia="gobCL" w:hAnsi="gobCL" w:cs="gobCL"/>
          <w:color w:val="000000"/>
        </w:rPr>
      </w:pPr>
    </w:p>
    <w:p w:rsidR="001D4594" w:rsidRDefault="00254E9D">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1D4594" w:rsidRDefault="00254E9D">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p>
    <w:p w:rsidR="001D4594" w:rsidRDefault="001D4594">
      <w:pPr>
        <w:pBdr>
          <w:top w:val="nil"/>
          <w:left w:val="nil"/>
          <w:bottom w:val="nil"/>
          <w:right w:val="nil"/>
          <w:between w:val="nil"/>
        </w:pBdr>
        <w:spacing w:after="0"/>
        <w:jc w:val="both"/>
        <w:rPr>
          <w:rFonts w:ascii="gobCL" w:eastAsia="gobCL" w:hAnsi="gobCL" w:cs="gobCL"/>
        </w:rPr>
      </w:pPr>
    </w:p>
    <w:p w:rsidR="001D4594" w:rsidRDefault="001D4594">
      <w:pPr>
        <w:pBdr>
          <w:top w:val="nil"/>
          <w:left w:val="nil"/>
          <w:bottom w:val="nil"/>
          <w:right w:val="nil"/>
          <w:between w:val="nil"/>
        </w:pBdr>
        <w:spacing w:after="0"/>
        <w:jc w:val="both"/>
        <w:rPr>
          <w:rFonts w:ascii="gobCL" w:eastAsia="gobCL" w:hAnsi="gobCL" w:cs="gobCL"/>
        </w:rPr>
      </w:pPr>
    </w:p>
    <w:p w:rsidR="001D4594" w:rsidRDefault="001D4594">
      <w:pPr>
        <w:pBdr>
          <w:top w:val="nil"/>
          <w:left w:val="nil"/>
          <w:bottom w:val="nil"/>
          <w:right w:val="nil"/>
          <w:between w:val="nil"/>
        </w:pBdr>
        <w:spacing w:after="0"/>
        <w:jc w:val="both"/>
        <w:rPr>
          <w:rFonts w:ascii="gobCL" w:eastAsia="gobCL" w:hAnsi="gobCL" w:cs="gobCL"/>
        </w:rPr>
      </w:pPr>
    </w:p>
    <w:p w:rsidR="001D4594" w:rsidRDefault="001D4594">
      <w:pPr>
        <w:pBdr>
          <w:top w:val="nil"/>
          <w:left w:val="nil"/>
          <w:bottom w:val="nil"/>
          <w:right w:val="nil"/>
          <w:between w:val="nil"/>
        </w:pBdr>
        <w:spacing w:after="0"/>
        <w:jc w:val="both"/>
        <w:rPr>
          <w:rFonts w:ascii="gobCL" w:eastAsia="gobCL" w:hAnsi="gobCL" w:cs="gobCL"/>
        </w:rPr>
      </w:pPr>
    </w:p>
    <w:p w:rsidR="001D4594" w:rsidRDefault="001D4594">
      <w:pPr>
        <w:pBdr>
          <w:top w:val="nil"/>
          <w:left w:val="nil"/>
          <w:bottom w:val="nil"/>
          <w:right w:val="nil"/>
          <w:between w:val="nil"/>
        </w:pBdr>
        <w:spacing w:after="0"/>
        <w:jc w:val="both"/>
        <w:rPr>
          <w:rFonts w:ascii="gobCL" w:eastAsia="gobCL" w:hAnsi="gobCL" w:cs="gobCL"/>
        </w:rPr>
      </w:pPr>
    </w:p>
    <w:p w:rsidR="001D4594" w:rsidRDefault="001D4594">
      <w:pPr>
        <w:pBdr>
          <w:top w:val="nil"/>
          <w:left w:val="nil"/>
          <w:bottom w:val="nil"/>
          <w:right w:val="nil"/>
          <w:between w:val="nil"/>
        </w:pBdr>
        <w:spacing w:after="0"/>
        <w:jc w:val="both"/>
        <w:rPr>
          <w:rFonts w:ascii="gobCL" w:eastAsia="gobCL" w:hAnsi="gobCL" w:cs="gobCL"/>
        </w:rPr>
      </w:pPr>
    </w:p>
    <w:tbl>
      <w:tblPr>
        <w:tblStyle w:val="aff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D4594">
        <w:tc>
          <w:tcPr>
            <w:tcW w:w="8828" w:type="dxa"/>
            <w:shd w:val="clear" w:color="auto" w:fill="D9D9D9"/>
          </w:tcPr>
          <w:p w:rsidR="001D4594" w:rsidRDefault="00254E9D">
            <w:pPr>
              <w:jc w:val="both"/>
              <w:rPr>
                <w:rFonts w:ascii="gobCL" w:eastAsia="gobCL" w:hAnsi="gobCL" w:cs="gobCL"/>
                <w:b/>
                <w:u w:val="single"/>
              </w:rPr>
            </w:pPr>
            <w:r>
              <w:rPr>
                <w:rFonts w:ascii="gobCL" w:eastAsia="gobCL" w:hAnsi="gobCL" w:cs="gobCL"/>
                <w:b/>
                <w:u w:val="single"/>
              </w:rPr>
              <w:t>IMPORTANTE:</w:t>
            </w:r>
          </w:p>
          <w:p w:rsidR="001D4594" w:rsidRDefault="00254E9D">
            <w:pPr>
              <w:jc w:val="both"/>
              <w:rPr>
                <w:rFonts w:ascii="gobCL" w:eastAsia="gobCL" w:hAnsi="gobCL" w:cs="gobCL"/>
              </w:rPr>
            </w:pPr>
            <w:r>
              <w:rPr>
                <w:rFonts w:ascii="gobCL" w:eastAsia="gobCL" w:hAnsi="gobCL" w:cs="gobCL"/>
              </w:rPr>
              <w:t>En el caso de contribuyentes de primera categoría, éstos podrán ser financiados de manera retroactiva a contar del 18 de marzo de 2020</w:t>
            </w:r>
            <w:r>
              <w:rPr>
                <w:rFonts w:ascii="gobCL" w:eastAsia="gobCL" w:hAnsi="gobCL" w:cs="gobCL"/>
                <w:vertAlign w:val="superscript"/>
              </w:rPr>
              <w:footnoteReference w:id="5"/>
            </w:r>
            <w:r>
              <w:rPr>
                <w:rFonts w:ascii="gobCL" w:eastAsia="gobCL" w:hAnsi="gobCL" w:cs="gobCL"/>
              </w:rPr>
              <w:t xml:space="preserve"> y por el tiempo de vigencia del contrato.</w:t>
            </w:r>
          </w:p>
          <w:p w:rsidR="001D4594" w:rsidRDefault="00254E9D">
            <w:pPr>
              <w:spacing w:after="160" w:line="259" w:lineRule="auto"/>
              <w:rPr>
                <w:rFonts w:ascii="gobCL" w:eastAsia="gobCL" w:hAnsi="gobCL" w:cs="gobCL"/>
              </w:rPr>
            </w:pPr>
            <w:r>
              <w:rPr>
                <w:rFonts w:ascii="gobCL" w:eastAsia="gobCL" w:hAnsi="gobCL" w:cs="gobCL"/>
              </w:rPr>
              <w:t>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1D4594" w:rsidRDefault="001D4594">
      <w:pPr>
        <w:pBdr>
          <w:top w:val="nil"/>
          <w:left w:val="nil"/>
          <w:bottom w:val="nil"/>
          <w:right w:val="nil"/>
          <w:between w:val="nil"/>
        </w:pBdr>
        <w:spacing w:after="0"/>
        <w:jc w:val="both"/>
        <w:rPr>
          <w:rFonts w:ascii="gobCL" w:eastAsia="gobCL" w:hAnsi="gobCL" w:cs="gobCL"/>
        </w:rPr>
      </w:pPr>
    </w:p>
    <w:p w:rsidR="001D4594" w:rsidRDefault="00254E9D">
      <w:pPr>
        <w:numPr>
          <w:ilvl w:val="0"/>
          <w:numId w:val="4"/>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1D4594" w:rsidRDefault="00254E9D">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1D4594" w:rsidRDefault="001D4594">
      <w:pPr>
        <w:pBdr>
          <w:top w:val="nil"/>
          <w:left w:val="nil"/>
          <w:bottom w:val="nil"/>
          <w:right w:val="nil"/>
          <w:between w:val="nil"/>
        </w:pBdr>
        <w:spacing w:after="0"/>
        <w:ind w:left="720"/>
        <w:jc w:val="both"/>
        <w:rPr>
          <w:rFonts w:ascii="gobCL" w:eastAsia="gobCL" w:hAnsi="gobCL" w:cs="gobCL"/>
        </w:rPr>
      </w:pPr>
    </w:p>
    <w:p w:rsidR="001D4594" w:rsidRDefault="00254E9D">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o servicio prestado</w:t>
      </w:r>
    </w:p>
    <w:p w:rsidR="001D4594" w:rsidRDefault="00254E9D">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shampoo, tinturas de pelo, etc.</w:t>
      </w:r>
    </w:p>
    <w:p w:rsidR="001D4594" w:rsidRDefault="001D4594">
      <w:pPr>
        <w:pBdr>
          <w:top w:val="nil"/>
          <w:left w:val="nil"/>
          <w:bottom w:val="nil"/>
          <w:right w:val="nil"/>
          <w:between w:val="nil"/>
        </w:pBdr>
        <w:spacing w:after="0"/>
        <w:ind w:left="1080" w:hanging="720"/>
        <w:jc w:val="both"/>
        <w:rPr>
          <w:rFonts w:ascii="gobCL" w:eastAsia="gobCL" w:hAnsi="gobCL" w:cs="gobCL"/>
        </w:rPr>
      </w:pPr>
    </w:p>
    <w:p w:rsidR="001D4594" w:rsidRDefault="00254E9D">
      <w:pPr>
        <w:numPr>
          <w:ilvl w:val="0"/>
          <w:numId w:val="4"/>
        </w:numPr>
        <w:pBdr>
          <w:top w:val="nil"/>
          <w:left w:val="nil"/>
          <w:bottom w:val="nil"/>
          <w:right w:val="nil"/>
          <w:between w:val="nil"/>
        </w:pBdr>
        <w:spacing w:after="0"/>
        <w:jc w:val="both"/>
        <w:rPr>
          <w:rFonts w:ascii="gobCL" w:eastAsia="gobCL" w:hAnsi="gobCL" w:cs="gobCL"/>
          <w:b/>
          <w:color w:val="000000"/>
        </w:rPr>
      </w:pPr>
      <w:r>
        <w:rPr>
          <w:rFonts w:ascii="gobCL" w:eastAsia="gobCL" w:hAnsi="gobCL" w:cs="gobCL"/>
          <w:b/>
          <w:color w:val="000000"/>
        </w:rPr>
        <w:t>Arriendos:</w:t>
      </w:r>
      <w:r>
        <w:rPr>
          <w:rFonts w:ascii="gobCL" w:eastAsia="gobCL" w:hAnsi="gobCL" w:cs="gobCL"/>
          <w:color w:val="000000"/>
        </w:rPr>
        <w:t xml:space="preserve">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 xml:space="preserve">comprende el gasto en arriendos, de bienes raíces (industriales, comerciales o agrícolas) y/o maquinarias necesarias para el desarrollo del negocio. En el caso de bienes raíces, </w:t>
      </w:r>
      <w:r>
        <w:rPr>
          <w:rFonts w:ascii="gobCL" w:eastAsia="gobCL" w:hAnsi="gobCL" w:cs="gobCL"/>
          <w:b/>
          <w:color w:val="000000"/>
        </w:rPr>
        <w:t>para validar el pago por dicho concepto, el contrato de arriendo deberá estar vigente, tener una fecha de suscripción de, al menos, 3 meses contados desde el inicio de la convocatoria y estar suscrito ante Notario Público con esa fecha.</w:t>
      </w:r>
      <w:r>
        <w:rPr>
          <w:rFonts w:ascii="gobCL" w:eastAsia="gobCL" w:hAnsi="gobCL" w:cs="gobCL"/>
          <w:color w:val="00000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Pr>
          <w:rFonts w:ascii="gobCL" w:eastAsia="gobCL" w:hAnsi="gobCL" w:cs="gobCL"/>
          <w:b/>
          <w:color w:val="00000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1D4594" w:rsidRDefault="001D4594">
      <w:pPr>
        <w:pBdr>
          <w:top w:val="nil"/>
          <w:left w:val="nil"/>
          <w:bottom w:val="nil"/>
          <w:right w:val="nil"/>
          <w:between w:val="nil"/>
        </w:pBdr>
        <w:spacing w:after="0"/>
        <w:jc w:val="both"/>
        <w:rPr>
          <w:rFonts w:ascii="gobCL" w:eastAsia="gobCL" w:hAnsi="gobCL" w:cs="gobCL"/>
          <w:b/>
        </w:rPr>
      </w:pPr>
    </w:p>
    <w:p w:rsidR="001D4594" w:rsidRDefault="00254E9D">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lastRenderedPageBreak/>
        <w:t>Pago de sueldos.</w:t>
      </w:r>
      <w:r>
        <w:rPr>
          <w:rFonts w:ascii="gobCL" w:eastAsia="gobCL" w:hAnsi="gobCL" w:cs="gobCL"/>
          <w:color w:val="000000"/>
        </w:rPr>
        <w:t xml:space="preserve">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considera el pago de sueldos para aquellos casos en donde el empleador no se haya adscrito a la Ley 21.227 sobre Protección del Empleo. </w:t>
      </w:r>
      <w:r>
        <w:rPr>
          <w:rFonts w:ascii="gobCL" w:eastAsia="gobCL" w:hAnsi="gobCL" w:cs="gobCL"/>
          <w:b/>
          <w:color w:val="000000"/>
        </w:rPr>
        <w:t>Para el pago retroactivo de este tipo de gasto, el contrato de trabajo, debe estar vigente y tener una fecha de suscripción de, al menos, 3 meses contados desde el inicio de la convocatoria.</w:t>
      </w:r>
      <w:r>
        <w:rPr>
          <w:rFonts w:ascii="gobCL" w:eastAsia="gobCL" w:hAnsi="gobCL" w:cs="gobCL"/>
          <w:color w:val="000000"/>
        </w:rPr>
        <w:t xml:space="preserve"> </w:t>
      </w:r>
    </w:p>
    <w:p w:rsidR="001D4594" w:rsidRDefault="001D4594">
      <w:pPr>
        <w:pBdr>
          <w:top w:val="nil"/>
          <w:left w:val="nil"/>
          <w:bottom w:val="nil"/>
          <w:right w:val="nil"/>
          <w:between w:val="nil"/>
        </w:pBdr>
        <w:ind w:left="720"/>
        <w:rPr>
          <w:rFonts w:ascii="gobCL" w:eastAsia="gobCL" w:hAnsi="gobCL" w:cs="gobCL"/>
          <w:color w:val="000000"/>
        </w:rPr>
      </w:pPr>
    </w:p>
    <w:p w:rsidR="001D4594" w:rsidRDefault="00254E9D">
      <w:pPr>
        <w:pBdr>
          <w:top w:val="nil"/>
          <w:left w:val="nil"/>
          <w:bottom w:val="nil"/>
          <w:right w:val="nil"/>
          <w:between w:val="nil"/>
        </w:pBdr>
        <w:spacing w:after="0"/>
        <w:ind w:left="72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1D4594" w:rsidRDefault="001D4594">
      <w:pPr>
        <w:pBdr>
          <w:top w:val="nil"/>
          <w:left w:val="nil"/>
          <w:bottom w:val="nil"/>
          <w:right w:val="nil"/>
          <w:between w:val="nil"/>
        </w:pBdr>
        <w:spacing w:after="0"/>
        <w:ind w:left="1080"/>
        <w:jc w:val="both"/>
        <w:rPr>
          <w:rFonts w:ascii="gobCL" w:eastAsia="gobCL" w:hAnsi="gobCL" w:cs="gobCL"/>
          <w:color w:val="000000"/>
        </w:rPr>
      </w:pPr>
    </w:p>
    <w:tbl>
      <w:tblPr>
        <w:tblStyle w:val="aff9"/>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D4594">
        <w:tc>
          <w:tcPr>
            <w:tcW w:w="8789" w:type="dxa"/>
            <w:shd w:val="clear" w:color="auto" w:fill="D9D9D9"/>
          </w:tcPr>
          <w:p w:rsidR="001D4594" w:rsidRDefault="00254E9D">
            <w:pPr>
              <w:jc w:val="both"/>
              <w:rPr>
                <w:rFonts w:ascii="gobCL" w:eastAsia="gobCL" w:hAnsi="gobCL" w:cs="gobCL"/>
                <w:b/>
                <w:u w:val="single"/>
              </w:rPr>
            </w:pPr>
            <w:r>
              <w:rPr>
                <w:rFonts w:ascii="gobCL" w:eastAsia="gobCL" w:hAnsi="gobCL" w:cs="gobCL"/>
                <w:b/>
                <w:u w:val="single"/>
              </w:rPr>
              <w:t>IMPORTANTE</w:t>
            </w:r>
          </w:p>
          <w:p w:rsidR="001D4594" w:rsidRDefault="00254E9D">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1D4594" w:rsidRDefault="001D4594">
      <w:pPr>
        <w:pBdr>
          <w:top w:val="nil"/>
          <w:left w:val="nil"/>
          <w:bottom w:val="nil"/>
          <w:right w:val="nil"/>
          <w:between w:val="nil"/>
        </w:pBdr>
        <w:spacing w:after="0"/>
        <w:jc w:val="both"/>
        <w:rPr>
          <w:rFonts w:ascii="gobCL" w:eastAsia="gobCL" w:hAnsi="gobCL" w:cs="gobCL"/>
          <w:color w:val="000000"/>
        </w:rPr>
      </w:pPr>
    </w:p>
    <w:p w:rsidR="001D4594" w:rsidRDefault="00254E9D">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Consumos básicos.</w:t>
      </w:r>
      <w:r>
        <w:rPr>
          <w:rFonts w:ascii="gobCL" w:eastAsia="gobCL" w:hAnsi="gobCL" w:cs="gobCL"/>
          <w:color w:val="000000"/>
        </w:rPr>
        <w:t xml:space="preserve"> Servicio y/o consumos generales. </w:t>
      </w:r>
      <w:r>
        <w:rPr>
          <w:rFonts w:ascii="gobCL" w:eastAsia="gobCL" w:hAnsi="gobCL" w:cs="gobCL"/>
          <w:b/>
          <w:color w:val="000000"/>
        </w:rPr>
        <w:t xml:space="preserve">Solo para personas naturales o jurídicas con inicio de actividades en primera categoría, </w:t>
      </w:r>
      <w:r>
        <w:rPr>
          <w:rFonts w:ascii="gobCL" w:eastAsia="gobCL" w:hAnsi="gobCL" w:cs="gobCL"/>
          <w:color w:val="000000"/>
        </w:rPr>
        <w:t>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Pr>
          <w:rFonts w:ascii="gobCL" w:eastAsia="gobCL" w:hAnsi="gobCL" w:cs="gobCL"/>
          <w:b/>
          <w:color w:val="000000"/>
        </w:rPr>
        <w:t xml:space="preserve"> </w:t>
      </w:r>
    </w:p>
    <w:p w:rsidR="001D4594" w:rsidRDefault="001D4594">
      <w:pPr>
        <w:pBdr>
          <w:top w:val="nil"/>
          <w:left w:val="nil"/>
          <w:bottom w:val="nil"/>
          <w:right w:val="nil"/>
          <w:between w:val="nil"/>
        </w:pBdr>
        <w:spacing w:after="0"/>
        <w:ind w:left="1080"/>
        <w:jc w:val="both"/>
        <w:rPr>
          <w:rFonts w:ascii="gobCL" w:eastAsia="gobCL" w:hAnsi="gobCL" w:cs="gobCL"/>
        </w:rPr>
      </w:pPr>
    </w:p>
    <w:p w:rsidR="001D4594" w:rsidRDefault="00254E9D">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Habilitación de infraestructura</w:t>
      </w:r>
      <w:r>
        <w:rPr>
          <w:rFonts w:ascii="gobCL" w:eastAsia="gobCL" w:hAnsi="gobCL" w:cs="gobCL"/>
          <w:color w:val="000000"/>
        </w:rPr>
        <w:t xml:space="preserve"> (obras menores a implementar dentro de los 2 meses de plazo de ejecución). </w:t>
      </w:r>
      <w:r>
        <w:rPr>
          <w:rFonts w:ascii="gobCL" w:eastAsia="gobCL" w:hAnsi="gobCL" w:cs="gobCL"/>
          <w:b/>
          <w:color w:val="000000"/>
        </w:rPr>
        <w:t>Solo para personas naturales o jurídicas con inicio de actividades en primera categoría,</w:t>
      </w:r>
      <w:r>
        <w:rPr>
          <w:rFonts w:ascii="gobCL" w:eastAsia="gobCL" w:hAnsi="gobCL" w:cs="gobCL"/>
          <w:color w:val="000000"/>
        </w:rPr>
        <w:t xml:space="preserve"> la empresa deberá acreditar respecto del inmueble en el cual se habilita, una de las siguientes condiciones: ser propietaria, usufructuaria, comodataria, arrendataria</w:t>
      </w:r>
      <w:r>
        <w:rPr>
          <w:color w:val="000000"/>
          <w:vertAlign w:val="superscript"/>
        </w:rPr>
        <w:footnoteReference w:id="6"/>
      </w:r>
      <w:r>
        <w:rPr>
          <w:rFonts w:ascii="gobCL" w:eastAsia="gobCL" w:hAnsi="gobCL" w:cs="gobCL"/>
          <w:color w:val="000000"/>
        </w:rPr>
        <w:t xml:space="preserve">; o en general, acreditar cualquier otro antecedente en que el titular del derecho de dominio o quien tenga facultad de realizarlo, ceda el uso del inmueble al empresario/a.  </w:t>
      </w:r>
    </w:p>
    <w:p w:rsidR="001D4594" w:rsidRDefault="001D4594">
      <w:pPr>
        <w:pBdr>
          <w:top w:val="nil"/>
          <w:left w:val="nil"/>
          <w:bottom w:val="nil"/>
          <w:right w:val="nil"/>
          <w:between w:val="nil"/>
        </w:pBdr>
        <w:spacing w:after="0"/>
        <w:ind w:left="720"/>
        <w:rPr>
          <w:rFonts w:ascii="gobCL" w:eastAsia="gobCL" w:hAnsi="gobCL" w:cs="gobCL"/>
          <w:b/>
          <w:color w:val="000000"/>
        </w:rPr>
      </w:pPr>
    </w:p>
    <w:p w:rsidR="001D4594" w:rsidRDefault="00254E9D">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 xml:space="preserve">Promoción, publicidad y difusión: </w:t>
      </w:r>
      <w:r>
        <w:rPr>
          <w:rFonts w:ascii="gobCL" w:eastAsia="gobCL" w:hAnsi="gobCL" w:cs="gobCL"/>
          <w:color w:val="000000"/>
        </w:rPr>
        <w:t xml:space="preserve">comprende el gasto en contratación de servicios publicitarios, de promoción y difusión de los proyectos de fomento productivo, incluidos servicios asociados a marketing digital.     </w:t>
      </w:r>
    </w:p>
    <w:p w:rsidR="001D4594" w:rsidRDefault="001D4594">
      <w:pPr>
        <w:pBdr>
          <w:top w:val="nil"/>
          <w:left w:val="nil"/>
          <w:bottom w:val="nil"/>
          <w:right w:val="nil"/>
          <w:between w:val="nil"/>
        </w:pBdr>
        <w:spacing w:after="0"/>
        <w:ind w:left="720"/>
        <w:rPr>
          <w:rFonts w:ascii="gobCL" w:eastAsia="gobCL" w:hAnsi="gobCL" w:cs="gobCL"/>
          <w:b/>
          <w:color w:val="000000"/>
        </w:rPr>
      </w:pPr>
    </w:p>
    <w:p w:rsidR="001D4594" w:rsidRDefault="00254E9D">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Servicios de terceros esenciales para el funcionamiento del negocio</w:t>
      </w:r>
      <w:r>
        <w:rPr>
          <w:rFonts w:ascii="gobCL" w:eastAsia="gobCL" w:hAnsi="gobCL" w:cs="gobCL"/>
          <w:color w:val="00000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Pr>
          <w:rFonts w:ascii="gobCL" w:eastAsia="gobCL" w:hAnsi="gobCL" w:cs="gobCL"/>
          <w:b/>
          <w:color w:val="000000"/>
        </w:rPr>
        <w:t>No se puede considerar en este ítem capacitaciones, asistencias técnicas ni asesorías.</w:t>
      </w:r>
      <w:r>
        <w:rPr>
          <w:rFonts w:ascii="gobCL" w:eastAsia="gobCL" w:hAnsi="gobCL" w:cs="gobCL"/>
          <w:color w:val="000000"/>
        </w:rPr>
        <w:t xml:space="preserve"> </w:t>
      </w:r>
    </w:p>
    <w:p w:rsidR="001D4594" w:rsidRDefault="001D4594">
      <w:pPr>
        <w:pBdr>
          <w:top w:val="nil"/>
          <w:left w:val="nil"/>
          <w:bottom w:val="nil"/>
          <w:right w:val="nil"/>
          <w:between w:val="nil"/>
        </w:pBdr>
        <w:spacing w:after="0"/>
        <w:jc w:val="both"/>
        <w:rPr>
          <w:rFonts w:ascii="gobCL" w:eastAsia="gobCL" w:hAnsi="gobCL" w:cs="gobCL"/>
        </w:rPr>
      </w:pPr>
    </w:p>
    <w:p w:rsidR="001D4594" w:rsidRDefault="00254E9D">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1D4594" w:rsidRDefault="001D4594">
      <w:pPr>
        <w:pBdr>
          <w:top w:val="nil"/>
          <w:left w:val="nil"/>
          <w:bottom w:val="nil"/>
          <w:right w:val="nil"/>
          <w:between w:val="nil"/>
        </w:pBdr>
        <w:spacing w:after="0"/>
        <w:jc w:val="both"/>
        <w:rPr>
          <w:rFonts w:ascii="gobCL" w:eastAsia="gobCL" w:hAnsi="gobCL" w:cs="gobCL"/>
        </w:rPr>
      </w:pPr>
    </w:p>
    <w:p w:rsidR="001D4594" w:rsidRDefault="00254E9D">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con el subsidio de Sercotec usted puede implementar las siguientes acciones:</w:t>
      </w:r>
    </w:p>
    <w:p w:rsidR="001D4594" w:rsidRDefault="001D4594">
      <w:pPr>
        <w:pBdr>
          <w:top w:val="nil"/>
          <w:left w:val="nil"/>
          <w:bottom w:val="nil"/>
          <w:right w:val="nil"/>
          <w:between w:val="nil"/>
        </w:pBdr>
        <w:spacing w:after="0"/>
        <w:jc w:val="both"/>
        <w:rPr>
          <w:rFonts w:ascii="gobCL" w:eastAsia="gobCL" w:hAnsi="gobCL" w:cs="gobCL"/>
        </w:rPr>
      </w:pPr>
    </w:p>
    <w:p w:rsidR="001D4594" w:rsidRDefault="00254E9D">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1D4594" w:rsidRDefault="00254E9D">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1D4594" w:rsidRDefault="001D4594">
      <w:pPr>
        <w:pBdr>
          <w:top w:val="nil"/>
          <w:left w:val="nil"/>
          <w:bottom w:val="nil"/>
          <w:right w:val="nil"/>
          <w:between w:val="nil"/>
        </w:pBdr>
        <w:spacing w:after="0"/>
        <w:ind w:left="720"/>
        <w:jc w:val="both"/>
        <w:rPr>
          <w:rFonts w:ascii="gobCL" w:eastAsia="gobCL" w:hAnsi="gobCL" w:cs="gobCL"/>
        </w:rPr>
      </w:pPr>
    </w:p>
    <w:p w:rsidR="001D4594" w:rsidRDefault="00254E9D">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1D4594" w:rsidRDefault="001D4594">
      <w:pPr>
        <w:pBdr>
          <w:top w:val="nil"/>
          <w:left w:val="nil"/>
          <w:bottom w:val="nil"/>
          <w:right w:val="nil"/>
          <w:between w:val="nil"/>
        </w:pBdr>
        <w:spacing w:after="0"/>
        <w:jc w:val="both"/>
        <w:rPr>
          <w:rFonts w:ascii="gobCL" w:eastAsia="gobCL" w:hAnsi="gobCL" w:cs="gobCL"/>
          <w:b/>
        </w:rPr>
      </w:pPr>
    </w:p>
    <w:p w:rsidR="001D4594" w:rsidRDefault="00254E9D">
      <w:pPr>
        <w:numPr>
          <w:ilvl w:val="0"/>
          <w:numId w:val="5"/>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7"/>
      </w:r>
      <w:r>
        <w:rPr>
          <w:rFonts w:ascii="gobCL" w:eastAsia="gobCL" w:hAnsi="gobCL" w:cs="gobCL"/>
          <w:color w:val="000000"/>
        </w:rPr>
        <w:t xml:space="preserve"> ni sueldos patronales. </w:t>
      </w:r>
    </w:p>
    <w:p w:rsidR="001D4594" w:rsidRDefault="00254E9D">
      <w:pPr>
        <w:numPr>
          <w:ilvl w:val="0"/>
          <w:numId w:val="5"/>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1D4594" w:rsidRDefault="00254E9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1D4594" w:rsidRDefault="00254E9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8"/>
      </w:r>
      <w:r>
        <w:rPr>
          <w:rFonts w:ascii="gobCL" w:eastAsia="gobCL" w:hAnsi="gobCL" w:cs="gobCL"/>
          <w:color w:val="000000"/>
        </w:rPr>
        <w:t>. En el caso de las personas jurídicas, se excluye a la totalidad de los socios/as que la conforman y a sus respectivos/as cónyuges, conviviente civil y/o hijos/as.</w:t>
      </w:r>
    </w:p>
    <w:p w:rsidR="001D4594" w:rsidRDefault="00254E9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1D4594" w:rsidRDefault="00254E9D">
      <w:pPr>
        <w:numPr>
          <w:ilvl w:val="0"/>
          <w:numId w:val="5"/>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1D4594" w:rsidRDefault="00254E9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1D4594" w:rsidRDefault="00254E9D">
      <w:pPr>
        <w:numPr>
          <w:ilvl w:val="0"/>
          <w:numId w:val="5"/>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1D4594" w:rsidRDefault="00254E9D">
      <w:pPr>
        <w:spacing w:before="240" w:after="240" w:line="240" w:lineRule="auto"/>
        <w:jc w:val="both"/>
        <w:rPr>
          <w:rFonts w:ascii="gobCL" w:eastAsia="gobCL" w:hAnsi="gobCL" w:cs="gobCL"/>
          <w:b/>
        </w:rPr>
      </w:pPr>
      <w:r>
        <w:rPr>
          <w:rFonts w:ascii="gobCL" w:eastAsia="gobCL" w:hAnsi="gobCL" w:cs="gobCL"/>
          <w:b/>
        </w:rPr>
        <w:t>3. Postulación</w:t>
      </w:r>
    </w:p>
    <w:p w:rsidR="001D4594" w:rsidRDefault="00254E9D">
      <w:pPr>
        <w:spacing w:before="240" w:after="240" w:line="240" w:lineRule="auto"/>
        <w:jc w:val="both"/>
        <w:rPr>
          <w:rFonts w:ascii="gobCL" w:eastAsia="gobCL" w:hAnsi="gobCL" w:cs="gobCL"/>
          <w:b/>
        </w:rPr>
      </w:pPr>
      <w:r>
        <w:rPr>
          <w:rFonts w:ascii="gobCL" w:eastAsia="gobCL" w:hAnsi="gobCL" w:cs="gobCL"/>
          <w:b/>
        </w:rPr>
        <w:t>3.1. Plazos de postulación</w:t>
      </w:r>
    </w:p>
    <w:p w:rsidR="001D4594" w:rsidRDefault="00254E9D">
      <w:pPr>
        <w:spacing w:before="240" w:after="240" w:line="240" w:lineRule="auto"/>
        <w:jc w:val="both"/>
        <w:rPr>
          <w:rFonts w:ascii="gobCL" w:eastAsia="gobCL" w:hAnsi="gobCL" w:cs="gobCL"/>
          <w:b/>
        </w:rPr>
      </w:pPr>
      <w:r>
        <w:rPr>
          <w:rFonts w:ascii="gobCL" w:eastAsia="gobCL" w:hAnsi="gobCL" w:cs="gobCL"/>
          <w:b/>
          <w:highlight w:val="white"/>
        </w:rPr>
        <w:t xml:space="preserve">Los/as interesados/as podrán iniciar y enviar su postulación a contar de las 12:00 horas del día 20 de Julio de 2021, hasta las 15:00 horas del día 23 de julio de 2021. </w:t>
      </w:r>
    </w:p>
    <w:p w:rsidR="001D4594" w:rsidRDefault="00254E9D">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9"/>
      </w:r>
    </w:p>
    <w:p w:rsidR="001D4594" w:rsidRDefault="00254E9D">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9">
        <w:r>
          <w:rPr>
            <w:rFonts w:ascii="gobCL" w:eastAsia="gobCL" w:hAnsi="gobCL" w:cs="gobCL"/>
            <w:color w:val="0563C1"/>
            <w:u w:val="single"/>
          </w:rPr>
          <w:t>www.sercotec.cl</w:t>
        </w:r>
      </w:hyperlink>
      <w:r>
        <w:rPr>
          <w:rFonts w:ascii="gobCL" w:eastAsia="gobCL" w:hAnsi="gobCL" w:cs="gobCL"/>
        </w:rPr>
        <w:t>.</w:t>
      </w:r>
    </w:p>
    <w:tbl>
      <w:tblPr>
        <w:tblStyle w:val="affa"/>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D4594">
        <w:tc>
          <w:tcPr>
            <w:tcW w:w="8789" w:type="dxa"/>
            <w:shd w:val="clear" w:color="auto" w:fill="D9D9D9"/>
          </w:tcPr>
          <w:p w:rsidR="001D4594" w:rsidRDefault="00254E9D">
            <w:pPr>
              <w:jc w:val="both"/>
              <w:rPr>
                <w:rFonts w:ascii="gobCL" w:eastAsia="gobCL" w:hAnsi="gobCL" w:cs="gobCL"/>
                <w:b/>
                <w:sz w:val="22"/>
                <w:szCs w:val="22"/>
                <w:u w:val="single"/>
              </w:rPr>
            </w:pPr>
            <w:r>
              <w:rPr>
                <w:rFonts w:ascii="gobCL" w:eastAsia="gobCL" w:hAnsi="gobCL" w:cs="gobCL"/>
                <w:b/>
                <w:sz w:val="22"/>
                <w:szCs w:val="22"/>
                <w:u w:val="single"/>
              </w:rPr>
              <w:t>IMPORTANTE</w:t>
            </w:r>
          </w:p>
          <w:p w:rsidR="001D4594" w:rsidRDefault="001D4594">
            <w:pPr>
              <w:jc w:val="both"/>
              <w:rPr>
                <w:rFonts w:ascii="gobCL" w:eastAsia="gobCL" w:hAnsi="gobCL" w:cs="gobCL"/>
                <w:b/>
                <w:sz w:val="22"/>
                <w:szCs w:val="22"/>
                <w:u w:val="single"/>
              </w:rPr>
            </w:pPr>
          </w:p>
          <w:p w:rsidR="001D4594" w:rsidRDefault="00254E9D">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1D4594" w:rsidRDefault="001D4594">
            <w:pPr>
              <w:jc w:val="both"/>
              <w:rPr>
                <w:rFonts w:ascii="gobCL" w:eastAsia="gobCL" w:hAnsi="gobCL" w:cs="gobCL"/>
                <w:sz w:val="22"/>
                <w:szCs w:val="22"/>
              </w:rPr>
            </w:pPr>
          </w:p>
          <w:p w:rsidR="001D4594" w:rsidRDefault="00254E9D">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1D4594" w:rsidRDefault="00254E9D">
      <w:pPr>
        <w:spacing w:before="240" w:after="240" w:line="240" w:lineRule="auto"/>
        <w:jc w:val="both"/>
        <w:rPr>
          <w:rFonts w:ascii="gobCL" w:eastAsia="gobCL" w:hAnsi="gobCL" w:cs="gobCL"/>
          <w:b/>
        </w:rPr>
      </w:pPr>
      <w:r>
        <w:rPr>
          <w:rFonts w:ascii="gobCL" w:eastAsia="gobCL" w:hAnsi="gobCL" w:cs="gobCL"/>
          <w:b/>
        </w:rPr>
        <w:t>3.2. Pasos para postular</w:t>
      </w:r>
    </w:p>
    <w:p w:rsidR="001D4594" w:rsidRDefault="00254E9D">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1D4594" w:rsidRDefault="00254E9D">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1D4594" w:rsidRDefault="00254E9D">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1D4594" w:rsidRDefault="00254E9D">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1D4594" w:rsidRDefault="00254E9D">
      <w:pPr>
        <w:spacing w:before="240" w:after="240" w:line="240" w:lineRule="auto"/>
        <w:jc w:val="both"/>
        <w:rPr>
          <w:rFonts w:ascii="gobCL" w:eastAsia="gobCL" w:hAnsi="gobCL" w:cs="gobCL"/>
        </w:rPr>
      </w:pPr>
      <w:r>
        <w:rPr>
          <w:rFonts w:ascii="gobCL" w:eastAsia="gobCL" w:hAnsi="gobCL" w:cs="gobCL"/>
        </w:rPr>
        <w:t xml:space="preserve">Cada empresa o persona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1D4594" w:rsidRDefault="00254E9D">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1D4594" w:rsidRDefault="00254E9D">
      <w:pPr>
        <w:spacing w:before="240" w:after="240" w:line="240" w:lineRule="auto"/>
        <w:jc w:val="both"/>
        <w:rPr>
          <w:rFonts w:ascii="gobCL" w:eastAsia="gobCL" w:hAnsi="gobCL" w:cs="gobCL"/>
        </w:rPr>
      </w:pPr>
      <w:r>
        <w:rPr>
          <w:rFonts w:ascii="gobCL" w:eastAsia="gobCL" w:hAnsi="gobCL" w:cs="gobCL"/>
        </w:rPr>
        <w:t>c.1. Los contribuyentes de primera categoría deberán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1">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del nivel de ventas.</w:t>
      </w:r>
    </w:p>
    <w:p w:rsidR="001D4594" w:rsidRDefault="00254E9D">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1D4594" w:rsidRDefault="001D4594">
      <w:pPr>
        <w:pBdr>
          <w:top w:val="nil"/>
          <w:left w:val="nil"/>
          <w:bottom w:val="nil"/>
          <w:right w:val="nil"/>
          <w:between w:val="nil"/>
        </w:pBdr>
        <w:spacing w:after="0" w:line="240" w:lineRule="auto"/>
        <w:jc w:val="both"/>
        <w:rPr>
          <w:rFonts w:ascii="gobCL" w:eastAsia="gobCL" w:hAnsi="gobCL" w:cs="gobCL"/>
          <w:color w:val="000000"/>
        </w:rPr>
      </w:pPr>
    </w:p>
    <w:p w:rsidR="001D4594" w:rsidRDefault="00254E9D">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deberá adjuntar el o los documentos correspondientes en el formulario de postulación de la convocatoria. El/los Formularios 29 los puede obtener en la siguiente ruta:</w:t>
      </w:r>
    </w:p>
    <w:p w:rsidR="001D4594" w:rsidRDefault="001D4594">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1D4594" w:rsidRDefault="00254E9D">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rsidR="001D4594" w:rsidRDefault="001D4594">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1D4594" w:rsidRDefault="00254E9D">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1D4594" w:rsidRDefault="00254E9D">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1D4594" w:rsidRDefault="001D4594">
      <w:pPr>
        <w:pBdr>
          <w:top w:val="nil"/>
          <w:left w:val="nil"/>
          <w:bottom w:val="nil"/>
          <w:right w:val="nil"/>
          <w:between w:val="nil"/>
        </w:pBdr>
        <w:spacing w:after="0" w:line="240" w:lineRule="auto"/>
        <w:jc w:val="both"/>
        <w:rPr>
          <w:rFonts w:ascii="gobCL" w:eastAsia="gobCL" w:hAnsi="gobCL" w:cs="gobCL"/>
        </w:rPr>
      </w:pPr>
    </w:p>
    <w:p w:rsidR="001D4594" w:rsidRDefault="00254E9D">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c.2. En el caso de personas naturales con inicio de actividades en segunda categoría, los postulantes deberán adjuntar el Informe anual de emisión de boletas de honorarios, correspondiente, también descargable del sitio web de SII:</w:t>
      </w:r>
    </w:p>
    <w:p w:rsidR="001D4594" w:rsidRDefault="001D4594">
      <w:pPr>
        <w:pBdr>
          <w:top w:val="nil"/>
          <w:left w:val="nil"/>
          <w:bottom w:val="nil"/>
          <w:right w:val="nil"/>
          <w:between w:val="nil"/>
        </w:pBdr>
        <w:spacing w:after="0" w:line="240" w:lineRule="auto"/>
        <w:jc w:val="both"/>
        <w:rPr>
          <w:rFonts w:ascii="gobCL" w:eastAsia="gobCL" w:hAnsi="gobCL" w:cs="gobCL"/>
          <w:highlight w:val="green"/>
        </w:rPr>
      </w:pPr>
    </w:p>
    <w:p w:rsidR="001D4594" w:rsidRDefault="00254E9D">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Aquellos con inicio de actividades hasta el 31 de diciembre de 2020, deberán adjuntar su informe anual de emisión de boletas de honorarios del año 2020 (en formato PDF)</w:t>
      </w:r>
    </w:p>
    <w:p w:rsidR="001D4594" w:rsidRDefault="00254E9D">
      <w:pPr>
        <w:numPr>
          <w:ilvl w:val="0"/>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Aquellos con inicio de actividades posteriores al 31 de diciembre de 2020 y hasta al 31 de marzo de 2021, deberán adjuntar su informe anual de emisión de boletas de honorarios del año 2021 (en formato PDF)</w:t>
      </w:r>
    </w:p>
    <w:p w:rsidR="001D4594" w:rsidRDefault="001D4594">
      <w:pPr>
        <w:rPr>
          <w:rFonts w:ascii="gobCL" w:eastAsia="gobCL" w:hAnsi="gobCL" w:cs="gobCL"/>
          <w:highlight w:val="green"/>
        </w:rPr>
      </w:pPr>
    </w:p>
    <w:p w:rsidR="001D4594" w:rsidRDefault="00254E9D">
      <w:pPr>
        <w:jc w:val="both"/>
        <w:rPr>
          <w:rFonts w:ascii="gobCL" w:eastAsia="gobCL" w:hAnsi="gobCL" w:cs="gobCL"/>
        </w:rPr>
      </w:pPr>
      <w:r>
        <w:rPr>
          <w:rFonts w:ascii="gobCL" w:eastAsia="gobCL" w:hAnsi="gobCL" w:cs="gobCL"/>
        </w:rPr>
        <w:t>El hecho de que el informe anual de emisión de boletas adjuntado no cuente con boletas emitidas en el período, no será impedimento para realizar la postulación al programa, ya que en este caso se entiende que el postulante tiene venta $0.</w:t>
      </w:r>
    </w:p>
    <w:p w:rsidR="001D4594" w:rsidRDefault="00254E9D">
      <w:pPr>
        <w:jc w:val="both"/>
        <w:rPr>
          <w:rFonts w:ascii="gobCL" w:eastAsia="gobCL" w:hAnsi="gobCL" w:cs="gobCL"/>
        </w:rPr>
      </w:pPr>
      <w:r>
        <w:rPr>
          <w:rFonts w:ascii="gobCL" w:eastAsia="gobCL" w:hAnsi="gobCL" w:cs="gobCL"/>
        </w:rPr>
        <w:t>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1D4594" w:rsidRDefault="00254E9D">
      <w:pPr>
        <w:spacing w:before="240" w:after="240" w:line="240" w:lineRule="auto"/>
        <w:jc w:val="both"/>
        <w:rPr>
          <w:rFonts w:ascii="gobCL" w:eastAsia="gobCL" w:hAnsi="gobCL" w:cs="gobCL"/>
          <w:b/>
        </w:rPr>
      </w:pPr>
      <w:r>
        <w:rPr>
          <w:rFonts w:ascii="gobCL" w:eastAsia="gobCL" w:hAnsi="gobCL" w:cs="gobCL"/>
          <w:b/>
        </w:rPr>
        <w:t>3.3. Apoyo en el proceso de postulación.</w:t>
      </w:r>
    </w:p>
    <w:p w:rsidR="001D4594" w:rsidRDefault="00254E9D">
      <w:pPr>
        <w:spacing w:before="240" w:after="240" w:line="240" w:lineRule="auto"/>
        <w:jc w:val="both"/>
        <w:rPr>
          <w:rFonts w:ascii="gobCL" w:eastAsia="gobCL" w:hAnsi="gobCL" w:cs="gobCL"/>
        </w:rPr>
      </w:pPr>
      <w:bookmarkStart w:id="4" w:name="_heading=h.3znysh7" w:colFirst="0" w:colLast="0"/>
      <w:bookmarkStart w:id="5" w:name="_GoBack"/>
      <w:bookmarkEnd w:id="4"/>
      <w:bookmarkEnd w:id="5"/>
      <w:r w:rsidRPr="00184E13">
        <w:rPr>
          <w:rFonts w:ascii="gobCL" w:eastAsia="gobCL" w:hAnsi="gobCL" w:cs="gobCL"/>
        </w:rPr>
        <w:t xml:space="preserve">Para que las personas interesadas realicen consultas, Sercotec dispondrá de un Agente Operador. Para esta convocatoria, el Agente asignado es: </w:t>
      </w:r>
      <w:r w:rsidR="00D865D2" w:rsidRPr="00184E13">
        <w:rPr>
          <w:rFonts w:ascii="gobCL" w:eastAsia="gobCL" w:hAnsi="gobCL" w:cs="gobCL"/>
        </w:rPr>
        <w:t>Corparauco</w:t>
      </w:r>
      <w:r w:rsidRPr="00184E13">
        <w:rPr>
          <w:rFonts w:ascii="gobCL" w:eastAsia="gobCL" w:hAnsi="gobCL" w:cs="gobCL"/>
        </w:rPr>
        <w:t>. Además, puede pedir orientación a los Puntos Mipe, a los teléfonos; 43-2328955 , 41-2741450, 232425286  o bien, ingresando a www.sercotec.cl.</w:t>
      </w:r>
    </w:p>
    <w:p w:rsidR="001D4594" w:rsidRDefault="00254E9D">
      <w:pPr>
        <w:spacing w:before="240" w:after="240" w:line="240" w:lineRule="auto"/>
        <w:jc w:val="both"/>
        <w:rPr>
          <w:rFonts w:ascii="gobCL" w:eastAsia="gobCL" w:hAnsi="gobCL" w:cs="gobCL"/>
        </w:rPr>
      </w:pPr>
      <w:r>
        <w:rPr>
          <w:rFonts w:ascii="gobCL" w:eastAsia="gobCL" w:hAnsi="gobCL" w:cs="gobCL"/>
          <w:b/>
        </w:rPr>
        <w:t>4. Selección de beneficiarios/as</w:t>
      </w:r>
    </w:p>
    <w:p w:rsidR="001D4594" w:rsidRDefault="00254E9D">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1D4594" w:rsidRDefault="00254E9D">
      <w:pPr>
        <w:spacing w:before="240" w:after="240" w:line="240" w:lineRule="auto"/>
        <w:jc w:val="both"/>
        <w:rPr>
          <w:rFonts w:ascii="gobCL" w:eastAsia="gobCL" w:hAnsi="gobCL" w:cs="gobCL"/>
        </w:rPr>
      </w:pPr>
      <w:r>
        <w:rPr>
          <w:rFonts w:ascii="gobCL" w:eastAsia="gobCL" w:hAnsi="gobCL" w:cs="gobCL"/>
        </w:rPr>
        <w:t>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10"/>
      </w:r>
      <w:r>
        <w:rPr>
          <w:rFonts w:ascii="gobCL" w:eastAsia="gobCL" w:hAnsi="gobCL" w:cs="gobCL"/>
        </w:rPr>
        <w:t xml:space="preserve">. </w:t>
      </w:r>
    </w:p>
    <w:p w:rsidR="001D4594" w:rsidRDefault="00254E9D">
      <w:pPr>
        <w:spacing w:before="240" w:after="240" w:line="240" w:lineRule="auto"/>
        <w:jc w:val="both"/>
        <w:rPr>
          <w:rFonts w:ascii="gobCL" w:eastAsia="gobCL" w:hAnsi="gobCL" w:cs="gobCL"/>
        </w:rPr>
      </w:pPr>
      <w:r>
        <w:rPr>
          <w:rFonts w:ascii="gobCL" w:eastAsia="gobCL" w:hAnsi="gobCL" w:cs="gobCL"/>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1D4594" w:rsidRDefault="00254E9D">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rsidR="001D4594" w:rsidRDefault="00254E9D">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1D4594" w:rsidRDefault="00254E9D">
      <w:pPr>
        <w:spacing w:before="240" w:after="240" w:line="240" w:lineRule="auto"/>
        <w:jc w:val="both"/>
        <w:rPr>
          <w:rFonts w:ascii="gobCL" w:eastAsia="gobCL" w:hAnsi="gobCL" w:cs="gobCL"/>
          <w:b/>
        </w:rPr>
      </w:pPr>
      <w:r>
        <w:rPr>
          <w:rFonts w:ascii="gobCL" w:eastAsia="gobCL" w:hAnsi="gobCL" w:cs="gobCL"/>
          <w:b/>
        </w:rPr>
        <w:lastRenderedPageBreak/>
        <w:t>5. Formalización</w:t>
      </w:r>
    </w:p>
    <w:p w:rsidR="001D4594" w:rsidRDefault="00254E9D">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1D4594" w:rsidRDefault="00254E9D">
      <w:pPr>
        <w:spacing w:before="240" w:after="240" w:line="240" w:lineRule="auto"/>
        <w:jc w:val="both"/>
        <w:rPr>
          <w:rFonts w:ascii="gobCL" w:eastAsia="gobCL" w:hAnsi="gobCL" w:cs="gobCL"/>
          <w:b/>
        </w:rPr>
      </w:pPr>
      <w:r>
        <w:rPr>
          <w:rFonts w:ascii="gobCL" w:eastAsia="gobCL" w:hAnsi="gobCL" w:cs="gobCL"/>
          <w:b/>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1D4594" w:rsidRDefault="00254E9D">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1D4594" w:rsidRDefault="00254E9D">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(al menos uno) será dentro de los primeros 10 días hábiles administrativos, contados desde la fecha de la notificación que se efectúe a través del sistema de evaluación.</w:t>
      </w:r>
    </w:p>
    <w:p w:rsidR="001D4594" w:rsidRDefault="00254E9D">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se entenderá que renuncia a la firma de contrato para ejecutar su Plan de Compras.</w:t>
      </w:r>
    </w:p>
    <w:p w:rsidR="001D4594" w:rsidRDefault="00254E9D">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b"/>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D4594">
        <w:trPr>
          <w:jc w:val="center"/>
        </w:trPr>
        <w:tc>
          <w:tcPr>
            <w:tcW w:w="8907" w:type="dxa"/>
            <w:shd w:val="clear" w:color="auto" w:fill="D9D9D9"/>
            <w:tcMar>
              <w:top w:w="57" w:type="dxa"/>
              <w:bottom w:w="57" w:type="dxa"/>
            </w:tcMar>
          </w:tcPr>
          <w:p w:rsidR="001D4594" w:rsidRDefault="00254E9D">
            <w:pPr>
              <w:jc w:val="both"/>
              <w:rPr>
                <w:rFonts w:ascii="gobCL" w:eastAsia="gobCL" w:hAnsi="gobCL" w:cs="gobCL"/>
                <w:b/>
                <w:sz w:val="22"/>
                <w:szCs w:val="22"/>
                <w:u w:val="single"/>
              </w:rPr>
            </w:pPr>
            <w:r>
              <w:rPr>
                <w:rFonts w:ascii="gobCL" w:eastAsia="gobCL" w:hAnsi="gobCL" w:cs="gobCL"/>
                <w:b/>
                <w:sz w:val="22"/>
                <w:szCs w:val="22"/>
                <w:u w:val="single"/>
              </w:rPr>
              <w:t>IMPORTANTE:</w:t>
            </w:r>
          </w:p>
          <w:p w:rsidR="001D4594" w:rsidRDefault="00254E9D">
            <w:pPr>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1D4594" w:rsidRDefault="00254E9D">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1D4594" w:rsidRDefault="00254E9D">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1D4594" w:rsidRDefault="00254E9D">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1D4594" w:rsidRDefault="00254E9D">
      <w:pPr>
        <w:spacing w:before="240" w:after="240" w:line="240" w:lineRule="auto"/>
        <w:jc w:val="both"/>
        <w:rPr>
          <w:rFonts w:ascii="gobCL" w:eastAsia="gobCL" w:hAnsi="gobCL" w:cs="gobCL"/>
        </w:rPr>
      </w:pPr>
      <w:r>
        <w:rPr>
          <w:rFonts w:ascii="gobCL" w:eastAsia="gobCL" w:hAnsi="gobCL" w:cs="gobCL"/>
        </w:rPr>
        <w:lastRenderedPageBreak/>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1D4594" w:rsidRDefault="00254E9D">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1D4594" w:rsidRDefault="00254E9D">
      <w:pPr>
        <w:spacing w:before="240" w:after="240" w:line="240" w:lineRule="auto"/>
        <w:jc w:val="both"/>
        <w:rPr>
          <w:rFonts w:ascii="gobCL" w:eastAsia="gobCL" w:hAnsi="gobCL" w:cs="gobCL"/>
          <w:b/>
        </w:rPr>
      </w:pPr>
      <w:r>
        <w:rPr>
          <w:rFonts w:ascii="gobCL" w:eastAsia="gobCL" w:hAnsi="gobCL" w:cs="gobCL"/>
          <w:b/>
        </w:rPr>
        <w:t>6. Implementación del Plan de Compras.</w:t>
      </w:r>
    </w:p>
    <w:p w:rsidR="001D4594" w:rsidRDefault="00254E9D">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1D4594" w:rsidRDefault="00254E9D">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rsidR="001D4594" w:rsidRDefault="00254E9D">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1D4594" w:rsidRDefault="00254E9D">
      <w:pPr>
        <w:numPr>
          <w:ilvl w:val="1"/>
          <w:numId w:val="10"/>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1D4594" w:rsidRDefault="00254E9D">
      <w:pPr>
        <w:numPr>
          <w:ilvl w:val="0"/>
          <w:numId w:val="10"/>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1"/>
      </w:r>
      <w:r>
        <w:rPr>
          <w:rFonts w:ascii="gobCL" w:eastAsia="gobCL" w:hAnsi="gobCL" w:cs="gobCL"/>
          <w:color w:val="000000"/>
        </w:rPr>
        <w:t xml:space="preserve">.  </w:t>
      </w:r>
    </w:p>
    <w:p w:rsidR="001D4594" w:rsidRDefault="00254E9D">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rsidR="001D4594" w:rsidRDefault="00254E9D">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1D4594" w:rsidRDefault="00254E9D">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1D4594" w:rsidRDefault="00254E9D">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1D4594" w:rsidRDefault="00254E9D">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 de Sercotec, aprobado por Resolución N° 10.084, del 07 de junio de 2021, o aquella que la reemplace, salvo en aquello que haya sido modificado por las presentes bases</w:t>
      </w:r>
      <w:r>
        <w:rPr>
          <w:rFonts w:ascii="gobCL" w:eastAsia="gobCL" w:hAnsi="gobCL" w:cs="gobCL"/>
          <w:b/>
          <w:vertAlign w:val="superscript"/>
        </w:rPr>
        <w:footnoteReference w:id="12"/>
      </w:r>
      <w:r>
        <w:rPr>
          <w:rFonts w:ascii="gobCL" w:eastAsia="gobCL" w:hAnsi="gobCL" w:cs="gobCL"/>
          <w:b/>
        </w:rPr>
        <w:t xml:space="preserve">. </w:t>
      </w:r>
    </w:p>
    <w:p w:rsidR="001D4594" w:rsidRDefault="00254E9D">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3"/>
      </w:r>
      <w:r>
        <w:rPr>
          <w:rFonts w:ascii="gobCL" w:eastAsia="gobCL" w:hAnsi="gobCL" w:cs="gobCL"/>
        </w:rPr>
        <w:t>. El ejecutivo/a de fomento, contraparte de Sercotec, tendrá la facultad de aceptar o rechazar tal petición, lo cual deberá ser informado por escrito.</w:t>
      </w:r>
    </w:p>
    <w:p w:rsidR="001D4594" w:rsidRDefault="00254E9D">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1D4594" w:rsidRDefault="00254E9D">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1D4594" w:rsidRDefault="00254E9D">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1D4594" w:rsidRDefault="00254E9D">
      <w:pPr>
        <w:spacing w:before="240" w:after="240"/>
        <w:jc w:val="both"/>
        <w:rPr>
          <w:rFonts w:ascii="gobCL" w:eastAsia="gobCL" w:hAnsi="gobCL" w:cs="gobCL"/>
        </w:rPr>
      </w:pPr>
      <w:r>
        <w:rPr>
          <w:rFonts w:ascii="gobCL" w:eastAsia="gobCL" w:hAnsi="gobCL" w:cs="gobCL"/>
        </w:rPr>
        <w:lastRenderedPageBreak/>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1D4594" w:rsidRDefault="00254E9D">
      <w:pPr>
        <w:tabs>
          <w:tab w:val="left" w:pos="709"/>
        </w:tabs>
        <w:spacing w:before="240" w:after="240"/>
        <w:jc w:val="both"/>
        <w:rPr>
          <w:rFonts w:ascii="gobCL" w:eastAsia="gobCL" w:hAnsi="gobCL" w:cs="gobCL"/>
          <w:b/>
        </w:rPr>
      </w:pPr>
      <w:r>
        <w:rPr>
          <w:rFonts w:ascii="gobCL" w:eastAsia="gobCL" w:hAnsi="gobCL" w:cs="gobCL"/>
          <w:b/>
        </w:rPr>
        <w:t>7. Cierre del programa.</w:t>
      </w:r>
    </w:p>
    <w:p w:rsidR="001D4594" w:rsidRDefault="00254E9D">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1D4594" w:rsidRDefault="00254E9D">
      <w:pPr>
        <w:spacing w:before="240" w:after="240"/>
        <w:jc w:val="both"/>
        <w:rPr>
          <w:rFonts w:ascii="gobCL" w:eastAsia="gobCL" w:hAnsi="gobCL" w:cs="gobCL"/>
          <w:b/>
        </w:rPr>
      </w:pPr>
      <w:r>
        <w:rPr>
          <w:rFonts w:ascii="gobCL" w:eastAsia="gobCL" w:hAnsi="gobCL" w:cs="gobCL"/>
          <w:b/>
        </w:rPr>
        <w:t>8. Término Anticipado del Contrato</w:t>
      </w:r>
    </w:p>
    <w:p w:rsidR="001D4594" w:rsidRDefault="00254E9D">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1D4594" w:rsidRDefault="00254E9D">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1D4594" w:rsidRDefault="00254E9D">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1D4594" w:rsidRDefault="00254E9D">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1D4594" w:rsidRDefault="00254E9D">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1D4594" w:rsidRDefault="00254E9D">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1D4594" w:rsidRDefault="00254E9D">
      <w:pPr>
        <w:numPr>
          <w:ilvl w:val="0"/>
          <w:numId w:val="11"/>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1D4594" w:rsidRDefault="00254E9D">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1D4594" w:rsidRDefault="00254E9D">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1D4594" w:rsidRDefault="00254E9D">
      <w:pPr>
        <w:numPr>
          <w:ilvl w:val="0"/>
          <w:numId w:val="6"/>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1D4594" w:rsidRDefault="00254E9D">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1D4594" w:rsidRDefault="00254E9D">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1D4594" w:rsidRDefault="00254E9D">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rPr>
        <w:lastRenderedPageBreak/>
        <w:t xml:space="preserve">El haber solicitado la devolución de gastos que hayan sido rendidos anteriormente en una convocatoria anterior de Sercotec, CORFO o de algún otro organismo público, que haya </w:t>
      </w:r>
      <w:r>
        <w:rPr>
          <w:rFonts w:ascii="gobCL" w:eastAsia="gobCL" w:hAnsi="gobCL" w:cs="gobCL"/>
          <w:color w:val="000000"/>
        </w:rPr>
        <w:t xml:space="preserve">implicado la entrega al beneficiario/a, de un subsidio otorgado con fondos público. </w:t>
      </w:r>
    </w:p>
    <w:p w:rsidR="001D4594" w:rsidRDefault="00254E9D">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rsidR="001D4594" w:rsidRDefault="00254E9D">
      <w:pPr>
        <w:numPr>
          <w:ilvl w:val="0"/>
          <w:numId w:val="6"/>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Si al término del primer mes, no se ha ejecutado el 60% del presupuesto asignado y no existan antecedentes que pudiesen justificar dicho atraso, lo que será calificado por escrito por el Director Regional, fundadamente.</w:t>
      </w:r>
    </w:p>
    <w:p w:rsidR="001D4594" w:rsidRDefault="00254E9D">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1D4594" w:rsidRDefault="00254E9D">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1D4594" w:rsidRDefault="00254E9D">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1D4594" w:rsidRDefault="00254E9D">
      <w:pPr>
        <w:spacing w:before="240" w:after="240"/>
        <w:jc w:val="both"/>
        <w:rPr>
          <w:rFonts w:ascii="gobCL" w:eastAsia="gobCL" w:hAnsi="gobCL" w:cs="gobCL"/>
          <w:b/>
        </w:rPr>
      </w:pPr>
      <w:r>
        <w:rPr>
          <w:rFonts w:ascii="gobCL" w:eastAsia="gobCL" w:hAnsi="gobCL" w:cs="gobCL"/>
          <w:b/>
        </w:rPr>
        <w:t>9. Otros</w:t>
      </w:r>
    </w:p>
    <w:p w:rsidR="001D4594" w:rsidRDefault="00254E9D">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1D4594" w:rsidRDefault="00254E9D">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1D4594" w:rsidRDefault="00254E9D">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1D4594" w:rsidRDefault="001D4594">
      <w:pPr>
        <w:spacing w:after="0" w:line="276" w:lineRule="auto"/>
        <w:jc w:val="both"/>
        <w:rPr>
          <w:rFonts w:ascii="gobCL" w:eastAsia="gobCL" w:hAnsi="gobCL" w:cs="gobCL"/>
        </w:rPr>
      </w:pPr>
    </w:p>
    <w:p w:rsidR="001D4594" w:rsidRDefault="00254E9D">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1D4594" w:rsidRDefault="001D4594">
      <w:pPr>
        <w:spacing w:after="0" w:line="276" w:lineRule="auto"/>
        <w:jc w:val="both"/>
        <w:rPr>
          <w:rFonts w:ascii="gobCL" w:eastAsia="gobCL" w:hAnsi="gobCL" w:cs="gobCL"/>
        </w:rPr>
      </w:pPr>
    </w:p>
    <w:p w:rsidR="001D4594" w:rsidRDefault="00254E9D">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1D4594" w:rsidRDefault="001D4594">
      <w:pPr>
        <w:spacing w:after="0" w:line="276" w:lineRule="auto"/>
        <w:jc w:val="both"/>
        <w:rPr>
          <w:rFonts w:ascii="gobCL" w:eastAsia="gobCL" w:hAnsi="gobCL" w:cs="gobCL"/>
        </w:rPr>
      </w:pPr>
    </w:p>
    <w:p w:rsidR="001D4594" w:rsidRDefault="00254E9D">
      <w:pPr>
        <w:shd w:val="clear" w:color="auto" w:fill="FFFFFF"/>
        <w:spacing w:after="240" w:line="240" w:lineRule="auto"/>
        <w:jc w:val="both"/>
        <w:rPr>
          <w:rFonts w:ascii="gobCL" w:eastAsia="gobCL" w:hAnsi="gobCL" w:cs="gobCL"/>
        </w:rPr>
      </w:pPr>
      <w:r>
        <w:rPr>
          <w:rFonts w:ascii="gobCL" w:eastAsia="gobCL" w:hAnsi="gobCL" w:cs="gobCL"/>
        </w:rPr>
        <w:lastRenderedPageBreak/>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1D4594" w:rsidRDefault="00254E9D">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1D4594" w:rsidRDefault="00254E9D">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1D4594" w:rsidRDefault="00254E9D">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D4594">
        <w:trPr>
          <w:jc w:val="center"/>
        </w:trPr>
        <w:tc>
          <w:tcPr>
            <w:tcW w:w="8907" w:type="dxa"/>
            <w:shd w:val="clear" w:color="auto" w:fill="D9D9D9"/>
            <w:tcMar>
              <w:top w:w="57" w:type="dxa"/>
              <w:bottom w:w="57" w:type="dxa"/>
            </w:tcMar>
          </w:tcPr>
          <w:p w:rsidR="001D4594" w:rsidRDefault="00254E9D">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1D4594" w:rsidRDefault="001D4594">
      <w:pPr>
        <w:jc w:val="center"/>
        <w:rPr>
          <w:rFonts w:ascii="gobCL" w:eastAsia="gobCL" w:hAnsi="gobCL" w:cs="gobCL"/>
          <w:b/>
          <w:sz w:val="20"/>
          <w:szCs w:val="20"/>
        </w:rPr>
      </w:pPr>
    </w:p>
    <w:p w:rsidR="001D4594" w:rsidRDefault="00254E9D">
      <w:pPr>
        <w:rPr>
          <w:rFonts w:ascii="gobCL" w:eastAsia="gobCL" w:hAnsi="gobCL" w:cs="gobCL"/>
          <w:b/>
          <w:sz w:val="20"/>
          <w:szCs w:val="20"/>
        </w:rPr>
      </w:pPr>
      <w:r>
        <w:br w:type="page"/>
      </w:r>
    </w:p>
    <w:p w:rsidR="001D4594" w:rsidRDefault="00254E9D">
      <w:pPr>
        <w:jc w:val="center"/>
        <w:rPr>
          <w:rFonts w:ascii="gobCL" w:eastAsia="gobCL" w:hAnsi="gobCL" w:cs="gobCL"/>
          <w:b/>
          <w:sz w:val="20"/>
          <w:szCs w:val="20"/>
        </w:rPr>
      </w:pPr>
      <w:r>
        <w:rPr>
          <w:rFonts w:ascii="gobCL" w:eastAsia="gobCL" w:hAnsi="gobCL" w:cs="gobCL"/>
          <w:b/>
          <w:sz w:val="20"/>
          <w:szCs w:val="20"/>
        </w:rPr>
        <w:lastRenderedPageBreak/>
        <w:t>ANEXO N°1</w:t>
      </w:r>
    </w:p>
    <w:p w:rsidR="001D4594" w:rsidRDefault="00254E9D">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1D4594" w:rsidRDefault="00254E9D">
      <w:pPr>
        <w:jc w:val="both"/>
        <w:rPr>
          <w:rFonts w:ascii="gobCL" w:eastAsia="gobCL" w:hAnsi="gobCL" w:cs="gobCL"/>
          <w:b/>
          <w:color w:val="000000"/>
          <w:sz w:val="20"/>
          <w:szCs w:val="20"/>
        </w:rPr>
      </w:pPr>
      <w:r>
        <w:rPr>
          <w:rFonts w:ascii="gobCL" w:eastAsia="gobCL" w:hAnsi="gobCL" w:cs="gobCL"/>
          <w:b/>
          <w:color w:val="000000"/>
          <w:sz w:val="20"/>
          <w:szCs w:val="20"/>
        </w:rPr>
        <w:t>Admisibilidad Automática:</w:t>
      </w:r>
    </w:p>
    <w:tbl>
      <w:tblPr>
        <w:tblStyle w:val="aff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D4594">
        <w:tc>
          <w:tcPr>
            <w:tcW w:w="4531" w:type="dxa"/>
            <w:shd w:val="clear" w:color="auto" w:fill="D9D9D9"/>
          </w:tcPr>
          <w:p w:rsidR="001D4594" w:rsidRDefault="00254E9D">
            <w:pPr>
              <w:jc w:val="center"/>
              <w:rPr>
                <w:rFonts w:ascii="gobCL" w:eastAsia="gobCL" w:hAnsi="gobCL" w:cs="gobCL"/>
                <w:b/>
              </w:rPr>
            </w:pPr>
            <w:r>
              <w:rPr>
                <w:rFonts w:ascii="gobCL" w:eastAsia="gobCL" w:hAnsi="gobCL" w:cs="gobCL"/>
                <w:b/>
              </w:rPr>
              <w:t>Requisito</w:t>
            </w:r>
          </w:p>
        </w:tc>
        <w:tc>
          <w:tcPr>
            <w:tcW w:w="4297" w:type="dxa"/>
            <w:shd w:val="clear" w:color="auto" w:fill="D9D9D9"/>
          </w:tcPr>
          <w:p w:rsidR="001D4594" w:rsidRDefault="00254E9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1D4594">
        <w:tc>
          <w:tcPr>
            <w:tcW w:w="4531" w:type="dxa"/>
          </w:tcPr>
          <w:p w:rsidR="001D4594" w:rsidRDefault="00254E9D">
            <w:pPr>
              <w:jc w:val="both"/>
              <w:rPr>
                <w:rFonts w:ascii="gobCL" w:eastAsia="gobCL" w:hAnsi="gobCL" w:cs="gobCL"/>
              </w:rPr>
            </w:pPr>
            <w:r>
              <w:rPr>
                <w:rFonts w:ascii="gobCL" w:eastAsia="gobCL" w:hAnsi="gobCL" w:cs="gobCL"/>
              </w:rPr>
              <w:t xml:space="preserve">Pueden acceder personas naturales y/o jurídicas, que tributan en primera o segunda categoría, pertenecientes a alguno de los siguientes códigos de actividad económica: </w:t>
            </w:r>
          </w:p>
          <w:p w:rsidR="001D4594" w:rsidRDefault="00254E9D">
            <w:pPr>
              <w:jc w:val="both"/>
              <w:rPr>
                <w:rFonts w:ascii="gobCL" w:eastAsia="gobCL" w:hAnsi="gobCL" w:cs="gobCL"/>
              </w:rPr>
            </w:pPr>
            <w:r>
              <w:rPr>
                <w:rFonts w:ascii="gobCL" w:eastAsia="gobCL" w:hAnsi="gobCL" w:cs="gobCL"/>
              </w:rPr>
              <w:t>960200: Peluquería y otros tratamientos de belleza.</w:t>
            </w:r>
          </w:p>
          <w:p w:rsidR="001D4594" w:rsidRDefault="00254E9D">
            <w:pPr>
              <w:jc w:val="both"/>
              <w:rPr>
                <w:rFonts w:ascii="gobCL" w:eastAsia="gobCL" w:hAnsi="gobCL" w:cs="gobCL"/>
              </w:rPr>
            </w:pPr>
            <w:r>
              <w:rPr>
                <w:rFonts w:ascii="gobCL" w:eastAsia="gobCL" w:hAnsi="gobCL" w:cs="gobCL"/>
              </w:rPr>
              <w:t>960902: Actividad de salones de masajes, baños públicos.</w:t>
            </w:r>
          </w:p>
          <w:p w:rsidR="001D4594" w:rsidRDefault="00254E9D">
            <w:pPr>
              <w:jc w:val="both"/>
              <w:rPr>
                <w:rFonts w:ascii="gobCL" w:eastAsia="gobCL" w:hAnsi="gobCL" w:cs="gobCL"/>
              </w:rPr>
            </w:pPr>
            <w:r>
              <w:rPr>
                <w:rFonts w:ascii="gobCL" w:eastAsia="gobCL" w:hAnsi="gobCL" w:cs="gobCL"/>
              </w:rPr>
              <w:t>960901: Servicio adiestramiento, guardería, peluquería, paseo de mascota, (excepto act. veterinaria).</w:t>
            </w:r>
          </w:p>
          <w:p w:rsidR="001D4594" w:rsidRDefault="00254E9D">
            <w:pPr>
              <w:jc w:val="both"/>
              <w:rPr>
                <w:rFonts w:ascii="gobCL" w:eastAsia="gobCL" w:hAnsi="gobCL" w:cs="gobCL"/>
              </w:rPr>
            </w:pPr>
            <w:r>
              <w:rPr>
                <w:rFonts w:ascii="gobCL" w:eastAsia="gobCL" w:hAnsi="gobCL" w:cs="gobCL"/>
              </w:rPr>
              <w:t>869091: Otros servicios de atención de la salud humana prestados por empresas.</w:t>
            </w:r>
          </w:p>
          <w:p w:rsidR="001D4594" w:rsidRDefault="00254E9D">
            <w:pPr>
              <w:jc w:val="both"/>
              <w:rPr>
                <w:rFonts w:ascii="gobCL" w:eastAsia="gobCL" w:hAnsi="gobCL" w:cs="gobCL"/>
              </w:rPr>
            </w:pPr>
            <w:r>
              <w:rPr>
                <w:rFonts w:ascii="gobCL" w:eastAsia="gobCL" w:hAnsi="gobCL" w:cs="gobCL"/>
              </w:rPr>
              <w:t>960909: Otras actividades de servicios personales N.C.P.</w:t>
            </w:r>
          </w:p>
          <w:p w:rsidR="001D4594" w:rsidRDefault="00254E9D">
            <w:pPr>
              <w:jc w:val="both"/>
              <w:rPr>
                <w:rFonts w:ascii="gobCL" w:eastAsia="gobCL" w:hAnsi="gobCL" w:cs="gobCL"/>
              </w:rPr>
            </w:pPr>
            <w:r>
              <w:rPr>
                <w:rFonts w:ascii="gobCL" w:eastAsia="gobCL" w:hAnsi="gobCL" w:cs="gobCL"/>
              </w:rPr>
              <w:t>869092: Servicios prestados de forma independiente por otros profesionales de la salud.</w:t>
            </w:r>
          </w:p>
        </w:tc>
        <w:tc>
          <w:tcPr>
            <w:tcW w:w="4297" w:type="dxa"/>
          </w:tcPr>
          <w:p w:rsidR="001D4594" w:rsidRDefault="00254E9D">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o persona postulante).</w:t>
            </w:r>
            <w:r>
              <w:rPr>
                <w:rFonts w:ascii="gobCL" w:eastAsia="gobCL" w:hAnsi="gobCL" w:cs="gobCL"/>
                <w:color w:val="000000"/>
                <w:sz w:val="28"/>
                <w:szCs w:val="28"/>
                <w:highlight w:val="white"/>
              </w:rPr>
              <w:t xml:space="preserve"> </w:t>
            </w:r>
          </w:p>
        </w:tc>
      </w:tr>
      <w:tr w:rsidR="001D4594">
        <w:tc>
          <w:tcPr>
            <w:tcW w:w="4531" w:type="dxa"/>
          </w:tcPr>
          <w:p w:rsidR="001D4594" w:rsidRDefault="00254E9D">
            <w:pPr>
              <w:jc w:val="both"/>
              <w:rPr>
                <w:rFonts w:ascii="gobCL" w:eastAsia="gobCL" w:hAnsi="gobCL" w:cs="gobCL"/>
              </w:rPr>
            </w:pPr>
            <w:r>
              <w:rPr>
                <w:rFonts w:ascii="gobCL" w:eastAsia="gobCL" w:hAnsi="gobCL" w:cs="gobCL"/>
              </w:rPr>
              <w:t xml:space="preserve">En el caso de contribuyentes de primera categoría, su domicilio comercial deberá estar registrado en la región de la presente convocatoria en el portal </w:t>
            </w:r>
            <w:hyperlink r:id="rId12">
              <w:r>
                <w:rPr>
                  <w:rFonts w:ascii="gobCL" w:eastAsia="gobCL" w:hAnsi="gobCL" w:cs="gobCL"/>
                  <w:color w:val="0000FF"/>
                  <w:u w:val="single"/>
                </w:rPr>
                <w:t>www.sercotec.cl</w:t>
              </w:r>
            </w:hyperlink>
            <w:r>
              <w:rPr>
                <w:rFonts w:ascii="gobCL" w:eastAsia="gobCL" w:hAnsi="gobCL" w:cs="gobCL"/>
              </w:rPr>
              <w:t xml:space="preserve">. En el caso de personas naturales que tributan en segunda categoría, su domicilio particular deberá estar registrado en la región correspondiente a la presente convocatoria también en el portal </w:t>
            </w:r>
            <w:hyperlink r:id="rId13">
              <w:r>
                <w:rPr>
                  <w:rFonts w:ascii="gobCL" w:eastAsia="gobCL" w:hAnsi="gobCL" w:cs="gobCL"/>
                  <w:color w:val="0000FF"/>
                  <w:u w:val="single"/>
                </w:rPr>
                <w:t>www.sercotec.cl</w:t>
              </w:r>
            </w:hyperlink>
            <w:r>
              <w:rPr>
                <w:rFonts w:ascii="gobCL" w:eastAsia="gobCL" w:hAnsi="gobCL" w:cs="gobCL"/>
              </w:rPr>
              <w:t xml:space="preserve">. </w:t>
            </w:r>
          </w:p>
        </w:tc>
        <w:tc>
          <w:tcPr>
            <w:tcW w:w="4297" w:type="dxa"/>
          </w:tcPr>
          <w:p w:rsidR="001D4594" w:rsidRDefault="00254E9D">
            <w:pPr>
              <w:jc w:val="both"/>
              <w:rPr>
                <w:rFonts w:ascii="gobCL" w:eastAsia="gobCL" w:hAnsi="gobCL" w:cs="gobCL"/>
              </w:rPr>
            </w:pPr>
            <w:r>
              <w:rPr>
                <w:rFonts w:ascii="gobCL" w:eastAsia="gobCL" w:hAnsi="gobCL" w:cs="gobCL"/>
              </w:rPr>
              <w:t>Requisito validado automáticamente a través de la plataforma de postulación.</w:t>
            </w:r>
          </w:p>
        </w:tc>
      </w:tr>
      <w:tr w:rsidR="001D4594">
        <w:tc>
          <w:tcPr>
            <w:tcW w:w="8828" w:type="dxa"/>
            <w:gridSpan w:val="2"/>
            <w:shd w:val="clear" w:color="auto" w:fill="D9D9D9"/>
          </w:tcPr>
          <w:p w:rsidR="001D4594" w:rsidRDefault="00254E9D">
            <w:pPr>
              <w:rPr>
                <w:rFonts w:ascii="gobCL" w:eastAsia="gobCL" w:hAnsi="gobCL" w:cs="gobCL"/>
                <w:b/>
              </w:rPr>
            </w:pPr>
            <w:r>
              <w:rPr>
                <w:rFonts w:ascii="gobCL" w:eastAsia="gobCL" w:hAnsi="gobCL" w:cs="gobCL"/>
                <w:b/>
              </w:rPr>
              <w:t>Sólo para el caso de personas naturales o jurídicas con inicio de actividades en primera categoría:</w:t>
            </w:r>
          </w:p>
        </w:tc>
      </w:tr>
      <w:tr w:rsidR="001D4594">
        <w:tc>
          <w:tcPr>
            <w:tcW w:w="4531" w:type="dxa"/>
          </w:tcPr>
          <w:p w:rsidR="001D4594" w:rsidRDefault="00254E9D">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1D4594" w:rsidRDefault="00254E9D">
            <w:pPr>
              <w:jc w:val="both"/>
              <w:rPr>
                <w:rFonts w:ascii="gobCL" w:eastAsia="gobCL" w:hAnsi="gobCL" w:cs="gobCL"/>
              </w:rPr>
            </w:pPr>
            <w:r>
              <w:rPr>
                <w:rFonts w:ascii="gobCL" w:eastAsia="gobCL" w:hAnsi="gobCL" w:cs="gobCL"/>
              </w:rPr>
              <w:t>Requisito validado por Sercotec para el RUT de la empresa postulante.</w:t>
            </w:r>
          </w:p>
          <w:p w:rsidR="001D4594" w:rsidRDefault="001D4594">
            <w:pPr>
              <w:jc w:val="both"/>
              <w:rPr>
                <w:rFonts w:ascii="gobCL" w:eastAsia="gobCL" w:hAnsi="gobCL" w:cs="gobCL"/>
              </w:rPr>
            </w:pPr>
          </w:p>
        </w:tc>
      </w:tr>
      <w:tr w:rsidR="001D4594">
        <w:tc>
          <w:tcPr>
            <w:tcW w:w="4531" w:type="dxa"/>
          </w:tcPr>
          <w:p w:rsidR="001D4594" w:rsidRDefault="00254E9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1D4594" w:rsidRDefault="00254E9D">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1D4594">
        <w:tc>
          <w:tcPr>
            <w:tcW w:w="4531" w:type="dxa"/>
          </w:tcPr>
          <w:p w:rsidR="001D4594" w:rsidRDefault="00254E9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1D4594" w:rsidRDefault="00254E9D">
            <w:pPr>
              <w:jc w:val="both"/>
              <w:rPr>
                <w:rFonts w:ascii="gobCL" w:eastAsia="gobCL" w:hAnsi="gobCL" w:cs="gobCL"/>
              </w:rPr>
            </w:pPr>
            <w:r>
              <w:rPr>
                <w:rFonts w:ascii="gobCL" w:eastAsia="gobCL" w:hAnsi="gobCL" w:cs="gobCL"/>
              </w:rPr>
              <w:t>Requisito validado por Sercotec para el RUT de la empresa postulante.</w:t>
            </w:r>
          </w:p>
        </w:tc>
      </w:tr>
      <w:tr w:rsidR="001D4594">
        <w:tc>
          <w:tcPr>
            <w:tcW w:w="4531" w:type="dxa"/>
          </w:tcPr>
          <w:p w:rsidR="001D4594" w:rsidRDefault="00254E9D">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1D4594" w:rsidRDefault="00254E9D">
            <w:pPr>
              <w:jc w:val="both"/>
              <w:rPr>
                <w:rFonts w:ascii="gobCL" w:eastAsia="gobCL" w:hAnsi="gobCL" w:cs="gobCL"/>
              </w:rPr>
            </w:pPr>
            <w:r>
              <w:rPr>
                <w:rFonts w:ascii="gobCL" w:eastAsia="gobCL" w:hAnsi="gobCL" w:cs="gobCL"/>
              </w:rPr>
              <w:t xml:space="preserve">Requisito validado automáticamente a través de la plataforma de postulación para el RUT de la </w:t>
            </w:r>
            <w:r>
              <w:rPr>
                <w:rFonts w:ascii="gobCL" w:eastAsia="gobCL" w:hAnsi="gobCL" w:cs="gobCL"/>
              </w:rPr>
              <w:lastRenderedPageBreak/>
              <w:t>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1D4594" w:rsidRDefault="001D4594">
      <w:pPr>
        <w:widowControl w:val="0"/>
        <w:pBdr>
          <w:top w:val="nil"/>
          <w:left w:val="nil"/>
          <w:bottom w:val="nil"/>
          <w:right w:val="nil"/>
          <w:between w:val="nil"/>
        </w:pBdr>
        <w:spacing w:after="0" w:line="276" w:lineRule="auto"/>
        <w:rPr>
          <w:rFonts w:ascii="gobCL" w:eastAsia="gobCL" w:hAnsi="gobCL" w:cs="gobCL"/>
        </w:rPr>
      </w:pPr>
    </w:p>
    <w:p w:rsidR="001D4594" w:rsidRDefault="00254E9D">
      <w:pPr>
        <w:rPr>
          <w:rFonts w:ascii="gobCL" w:eastAsia="gobCL" w:hAnsi="gobCL" w:cs="gobCL"/>
          <w:b/>
          <w:sz w:val="20"/>
          <w:szCs w:val="20"/>
        </w:rPr>
      </w:pPr>
      <w:r>
        <w:rPr>
          <w:rFonts w:ascii="gobCL" w:eastAsia="gobCL" w:hAnsi="gobCL" w:cs="gobCL"/>
          <w:b/>
          <w:sz w:val="20"/>
          <w:szCs w:val="20"/>
        </w:rPr>
        <w:t>Admisibilidad Manual:</w:t>
      </w:r>
    </w:p>
    <w:tbl>
      <w:tblPr>
        <w:tblStyle w:val="a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D4594">
        <w:tc>
          <w:tcPr>
            <w:tcW w:w="4531" w:type="dxa"/>
            <w:shd w:val="clear" w:color="auto" w:fill="D9D9D9"/>
          </w:tcPr>
          <w:p w:rsidR="001D4594" w:rsidRDefault="00254E9D">
            <w:pPr>
              <w:jc w:val="center"/>
              <w:rPr>
                <w:rFonts w:ascii="gobCL" w:eastAsia="gobCL" w:hAnsi="gobCL" w:cs="gobCL"/>
                <w:b/>
              </w:rPr>
            </w:pPr>
            <w:r>
              <w:rPr>
                <w:rFonts w:ascii="gobCL" w:eastAsia="gobCL" w:hAnsi="gobCL" w:cs="gobCL"/>
                <w:b/>
              </w:rPr>
              <w:t>Requisito</w:t>
            </w:r>
          </w:p>
        </w:tc>
        <w:tc>
          <w:tcPr>
            <w:tcW w:w="4297" w:type="dxa"/>
            <w:shd w:val="clear" w:color="auto" w:fill="D9D9D9"/>
          </w:tcPr>
          <w:p w:rsidR="001D4594" w:rsidRDefault="00254E9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bl>
    <w:p w:rsidR="001D4594" w:rsidRDefault="001D4594">
      <w:pPr>
        <w:widowControl w:val="0"/>
        <w:pBdr>
          <w:top w:val="nil"/>
          <w:left w:val="nil"/>
          <w:bottom w:val="nil"/>
          <w:right w:val="nil"/>
          <w:between w:val="nil"/>
        </w:pBdr>
        <w:spacing w:after="0" w:line="276" w:lineRule="auto"/>
        <w:rPr>
          <w:rFonts w:ascii="gobCL" w:eastAsia="gobCL" w:hAnsi="gobCL" w:cs="gobCL"/>
          <w:b/>
          <w:color w:val="000000"/>
        </w:rPr>
      </w:pPr>
    </w:p>
    <w:tbl>
      <w:tblPr>
        <w:tblStyle w:val="a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D4594">
        <w:tc>
          <w:tcPr>
            <w:tcW w:w="4531" w:type="dxa"/>
          </w:tcPr>
          <w:p w:rsidR="001D4594" w:rsidRDefault="00254E9D">
            <w:pPr>
              <w:jc w:val="both"/>
              <w:rPr>
                <w:rFonts w:ascii="gobCL" w:eastAsia="gobCL" w:hAnsi="gobCL" w:cs="gobCL"/>
              </w:rPr>
            </w:pPr>
            <w:r>
              <w:rPr>
                <w:rFonts w:ascii="gobCL" w:eastAsia="gobCL" w:hAnsi="gobCL" w:cs="gobCL"/>
              </w:rPr>
              <w:t>Las personas naturales y/o jurídica con iniciación de actividades en primera categoría ante SII, deberán tener ventas netas anuales entre 0 y 25.000 UF.</w:t>
            </w:r>
          </w:p>
          <w:p w:rsidR="001D4594" w:rsidRDefault="00254E9D">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1D4594" w:rsidRDefault="00254E9D">
            <w:pPr>
              <w:jc w:val="both"/>
              <w:rPr>
                <w:rFonts w:ascii="gobCL" w:eastAsia="gobCL" w:hAnsi="gobCL" w:cs="gobCL"/>
              </w:rPr>
            </w:pPr>
            <w:r>
              <w:rPr>
                <w:rFonts w:ascii="gobCL" w:eastAsia="gobCL" w:hAnsi="gobCL" w:cs="gobCL"/>
              </w:rPr>
              <w:t>Período de cálculo de ventas netas anuales, es Mayo 2020 – Abril 2021</w:t>
            </w:r>
          </w:p>
        </w:tc>
        <w:tc>
          <w:tcPr>
            <w:tcW w:w="4297" w:type="dxa"/>
          </w:tcPr>
          <w:p w:rsidR="001D4594" w:rsidRDefault="00254E9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4">
              <w:r>
                <w:rPr>
                  <w:rFonts w:ascii="gobCL" w:eastAsia="gobCL" w:hAnsi="gobCL" w:cs="gobCL"/>
                  <w:color w:val="0000FF"/>
                  <w:u w:val="single"/>
                </w:rPr>
                <w:t>https://zeus.sii.cl/dii_doc/carpeta_tributaria/html/index.htm</w:t>
              </w:r>
            </w:hyperlink>
          </w:p>
          <w:p w:rsidR="001D4594" w:rsidRDefault="001D4594">
            <w:pPr>
              <w:jc w:val="both"/>
              <w:rPr>
                <w:rFonts w:ascii="gobCL" w:eastAsia="gobCL" w:hAnsi="gobCL" w:cs="gobCL"/>
              </w:rPr>
            </w:pPr>
          </w:p>
        </w:tc>
      </w:tr>
      <w:tr w:rsidR="001D4594">
        <w:tc>
          <w:tcPr>
            <w:tcW w:w="4531" w:type="dxa"/>
          </w:tcPr>
          <w:p w:rsidR="001D4594" w:rsidRDefault="00254E9D">
            <w:pPr>
              <w:jc w:val="both"/>
              <w:rPr>
                <w:rFonts w:ascii="gobCL" w:eastAsia="gobCL" w:hAnsi="gobCL" w:cs="gobCL"/>
              </w:rPr>
            </w:pPr>
            <w:r>
              <w:rPr>
                <w:rFonts w:ascii="gobCL" w:eastAsia="gobCL" w:hAnsi="gobCL" w:cs="gobCL"/>
              </w:rPr>
              <w:t>Las personas naturales con inicio de actividades en segunda categoría ante SII, deberán tener ventas anuales entre 0 y 2.400 UF al año. Período de cálculo de ventas netas anuales se considerará lo siguiente:</w:t>
            </w:r>
          </w:p>
          <w:p w:rsidR="001D4594" w:rsidRDefault="00254E9D">
            <w:pPr>
              <w:numPr>
                <w:ilvl w:val="0"/>
                <w:numId w:val="15"/>
              </w:numPr>
              <w:pBdr>
                <w:top w:val="nil"/>
                <w:left w:val="nil"/>
                <w:bottom w:val="nil"/>
                <w:right w:val="nil"/>
                <w:between w:val="nil"/>
              </w:pBdr>
              <w:spacing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hasta el 31 de diciembre de 2020, se tomará el período enero-diciembre de 2020.</w:t>
            </w:r>
          </w:p>
          <w:p w:rsidR="001D4594" w:rsidRDefault="00254E9D">
            <w:pPr>
              <w:numPr>
                <w:ilvl w:val="0"/>
                <w:numId w:val="15"/>
              </w:numPr>
              <w:pBdr>
                <w:top w:val="nil"/>
                <w:left w:val="nil"/>
                <w:bottom w:val="nil"/>
                <w:right w:val="nil"/>
                <w:between w:val="nil"/>
              </w:pBdr>
              <w:spacing w:after="160" w:line="259" w:lineRule="auto"/>
              <w:jc w:val="both"/>
              <w:rPr>
                <w:rFonts w:ascii="gobCL" w:eastAsia="gobCL" w:hAnsi="gobCL" w:cs="gobCL"/>
                <w:color w:val="000000"/>
                <w:sz w:val="22"/>
                <w:szCs w:val="22"/>
              </w:rPr>
            </w:pPr>
            <w:r>
              <w:rPr>
                <w:rFonts w:ascii="gobCL" w:eastAsia="gobCL" w:hAnsi="gobCL" w:cs="gobCL"/>
                <w:color w:val="000000"/>
                <w:sz w:val="22"/>
                <w:szCs w:val="22"/>
              </w:rPr>
              <w:t>Para aquellos con inicio de actividades posteriores al 31 de diciembre de 2020, se considera el período enero-marzo 2021.</w:t>
            </w:r>
          </w:p>
        </w:tc>
        <w:tc>
          <w:tcPr>
            <w:tcW w:w="4297" w:type="dxa"/>
          </w:tcPr>
          <w:p w:rsidR="001D4594" w:rsidRDefault="00254E9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Informe anual de emisión de boletas de honorarios año 2020 o 2021 según corresponda, disponible en </w:t>
            </w:r>
            <w:hyperlink r:id="rId15">
              <w:r>
                <w:rPr>
                  <w:rFonts w:ascii="gobCL" w:eastAsia="gobCL" w:hAnsi="gobCL" w:cs="gobCL"/>
                  <w:color w:val="0000FF"/>
                  <w:u w:val="single"/>
                </w:rPr>
                <w:t>www.sii.cl</w:t>
              </w:r>
            </w:hyperlink>
          </w:p>
          <w:p w:rsidR="001D4594" w:rsidRDefault="001D4594">
            <w:pPr>
              <w:pBdr>
                <w:top w:val="nil"/>
                <w:left w:val="nil"/>
                <w:bottom w:val="nil"/>
                <w:right w:val="nil"/>
                <w:between w:val="nil"/>
              </w:pBdr>
              <w:jc w:val="both"/>
              <w:rPr>
                <w:rFonts w:ascii="gobCL" w:eastAsia="gobCL" w:hAnsi="gobCL" w:cs="gobCL"/>
                <w:color w:val="000000"/>
              </w:rPr>
            </w:pPr>
          </w:p>
        </w:tc>
      </w:tr>
      <w:tr w:rsidR="001D4594">
        <w:tc>
          <w:tcPr>
            <w:tcW w:w="4531" w:type="dxa"/>
          </w:tcPr>
          <w:p w:rsidR="001D4594" w:rsidRDefault="00254E9D">
            <w:pPr>
              <w:jc w:val="both"/>
              <w:rPr>
                <w:rFonts w:ascii="gobCL" w:eastAsia="gobCL" w:hAnsi="gobCL" w:cs="gobCL"/>
              </w:rPr>
            </w:pPr>
            <w:r>
              <w:rPr>
                <w:rFonts w:ascii="gobCL" w:eastAsia="gobCL" w:hAnsi="gobCL" w:cs="gobCL"/>
              </w:rPr>
              <w:t>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tcW w:w="4297" w:type="dxa"/>
          </w:tcPr>
          <w:p w:rsidR="001D4594" w:rsidRDefault="00254E9D">
            <w:pPr>
              <w:pBdr>
                <w:top w:val="nil"/>
                <w:left w:val="nil"/>
                <w:bottom w:val="nil"/>
                <w:right w:val="nil"/>
                <w:between w:val="nil"/>
              </w:pBdr>
              <w:jc w:val="both"/>
              <w:rPr>
                <w:rFonts w:ascii="gobCL" w:eastAsia="gobCL" w:hAnsi="gobCL" w:cs="gobCL"/>
                <w:color w:val="000000"/>
              </w:rPr>
            </w:pPr>
            <w:r>
              <w:rPr>
                <w:rFonts w:ascii="gobCL" w:eastAsia="gobCL" w:hAnsi="gobCL" w:cs="gobCL"/>
              </w:rPr>
              <w:t xml:space="preserve">Plataforma de postulación Sercotec. </w:t>
            </w:r>
          </w:p>
        </w:tc>
      </w:tr>
    </w:tbl>
    <w:p w:rsidR="001D4594" w:rsidRDefault="001D4594">
      <w:pPr>
        <w:rPr>
          <w:rFonts w:ascii="gobCL" w:eastAsia="gobCL" w:hAnsi="gobCL" w:cs="gobCL"/>
          <w:b/>
          <w:sz w:val="20"/>
          <w:szCs w:val="20"/>
        </w:rPr>
      </w:pPr>
    </w:p>
    <w:p w:rsidR="001D4594" w:rsidRDefault="00254E9D">
      <w:pPr>
        <w:rPr>
          <w:rFonts w:ascii="gobCL" w:eastAsia="gobCL" w:hAnsi="gobCL" w:cs="gobCL"/>
          <w:b/>
          <w:sz w:val="20"/>
          <w:szCs w:val="20"/>
        </w:rPr>
      </w:pPr>
      <w:r>
        <w:rPr>
          <w:rFonts w:ascii="gobCL" w:eastAsia="gobCL" w:hAnsi="gobCL" w:cs="gobCL"/>
          <w:b/>
          <w:sz w:val="20"/>
          <w:szCs w:val="20"/>
        </w:rPr>
        <w:t>EDIOS DE VERIFICACIÓN DEL CUMPLIMIENTO DE LOS REQUISITOS DE FORMALIZACIÓN</w:t>
      </w: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D4594">
        <w:tc>
          <w:tcPr>
            <w:tcW w:w="4531" w:type="dxa"/>
            <w:shd w:val="clear" w:color="auto" w:fill="D9D9D9"/>
          </w:tcPr>
          <w:p w:rsidR="001D4594" w:rsidRDefault="00254E9D">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1D4594" w:rsidRDefault="00254E9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1D4594">
        <w:tc>
          <w:tcPr>
            <w:tcW w:w="4531" w:type="dxa"/>
          </w:tcPr>
          <w:p w:rsidR="001D4594" w:rsidRDefault="00254E9D">
            <w:pPr>
              <w:jc w:val="both"/>
              <w:rPr>
                <w:rFonts w:ascii="gobCL" w:eastAsia="gobCL" w:hAnsi="gobCL" w:cs="gobCL"/>
              </w:rPr>
            </w:pPr>
            <w:r>
              <w:rPr>
                <w:rFonts w:ascii="gobCL" w:eastAsia="gobCL" w:hAnsi="gobCL" w:cs="gobCL"/>
              </w:rPr>
              <w:t>Tener domicilio comercial o personal, según corresponda, en la región de la presente convocatoria.</w:t>
            </w:r>
          </w:p>
        </w:tc>
        <w:tc>
          <w:tcPr>
            <w:tcW w:w="4297" w:type="dxa"/>
          </w:tcPr>
          <w:p w:rsidR="001D4594" w:rsidRDefault="00254E9D">
            <w:pPr>
              <w:ind w:left="25"/>
              <w:jc w:val="both"/>
              <w:rPr>
                <w:rFonts w:ascii="gobCL" w:eastAsia="gobCL" w:hAnsi="gobCL" w:cs="gobCL"/>
              </w:rPr>
            </w:pPr>
            <w:r>
              <w:rPr>
                <w:rFonts w:ascii="gobCL" w:eastAsia="gobCL" w:hAnsi="gobCL" w:cs="gobCL"/>
              </w:rPr>
              <w:t>Carpeta tributaria para solicitar créditos o domicilio particular según antecedentes de registro Sercotec, según corresponda.</w:t>
            </w:r>
          </w:p>
        </w:tc>
      </w:tr>
      <w:tr w:rsidR="001D4594">
        <w:tc>
          <w:tcPr>
            <w:tcW w:w="4531" w:type="dxa"/>
          </w:tcPr>
          <w:p w:rsidR="001D4594" w:rsidRDefault="00254E9D">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1D4594" w:rsidRDefault="00254E9D">
            <w:pPr>
              <w:ind w:left="25"/>
              <w:jc w:val="both"/>
              <w:rPr>
                <w:rFonts w:ascii="gobCL" w:eastAsia="gobCL" w:hAnsi="gobCL" w:cs="gobCL"/>
              </w:rPr>
            </w:pPr>
            <w:r>
              <w:rPr>
                <w:rFonts w:ascii="gobCL" w:eastAsia="gobCL" w:hAnsi="gobCL" w:cs="gobCL"/>
              </w:rPr>
              <w:t xml:space="preserve">Declaración Jurada de Probidad según formato Anexo N°3. </w:t>
            </w:r>
          </w:p>
        </w:tc>
      </w:tr>
      <w:tr w:rsidR="001D4594">
        <w:tc>
          <w:tcPr>
            <w:tcW w:w="4531" w:type="dxa"/>
          </w:tcPr>
          <w:p w:rsidR="001D4594" w:rsidRDefault="00254E9D">
            <w:pPr>
              <w:jc w:val="both"/>
              <w:rPr>
                <w:rFonts w:ascii="gobCL" w:eastAsia="gobCL" w:hAnsi="gobCL" w:cs="gobCL"/>
              </w:rPr>
            </w:pPr>
            <w:r>
              <w:rPr>
                <w:rFonts w:ascii="gobCL" w:eastAsia="gobCL" w:hAnsi="gobCL" w:cs="gobCL"/>
                <w:color w:val="000000"/>
              </w:rPr>
              <w:t>Suscripción de la Declaración Jurada de no duplicidad de los gastos, disponible en el Anexo N°4.</w:t>
            </w:r>
          </w:p>
        </w:tc>
        <w:tc>
          <w:tcPr>
            <w:tcW w:w="4297" w:type="dxa"/>
          </w:tcPr>
          <w:p w:rsidR="001D4594" w:rsidRDefault="00254E9D">
            <w:pPr>
              <w:ind w:left="25"/>
              <w:jc w:val="both"/>
              <w:rPr>
                <w:rFonts w:ascii="gobCL" w:eastAsia="gobCL" w:hAnsi="gobCL" w:cs="gobCL"/>
              </w:rPr>
            </w:pPr>
            <w:r>
              <w:rPr>
                <w:rFonts w:ascii="gobCL" w:eastAsia="gobCL" w:hAnsi="gobCL" w:cs="gobCL"/>
              </w:rPr>
              <w:t>Declaración Jurada de no duplicidad de gastos según formato Anexo N°4.</w:t>
            </w:r>
          </w:p>
        </w:tc>
      </w:tr>
      <w:tr w:rsidR="001D4594">
        <w:tc>
          <w:tcPr>
            <w:tcW w:w="4531" w:type="dxa"/>
          </w:tcPr>
          <w:p w:rsidR="001D4594" w:rsidRDefault="00254E9D">
            <w:pPr>
              <w:jc w:val="both"/>
              <w:rPr>
                <w:rFonts w:ascii="gobCL" w:eastAsia="gobCL" w:hAnsi="gobCL" w:cs="gobCL"/>
                <w:color w:val="000000"/>
              </w:rPr>
            </w:pPr>
            <w:r>
              <w:rPr>
                <w:rFonts w:ascii="gobCL" w:eastAsia="gobCL" w:hAnsi="gobCL" w:cs="gobCL"/>
                <w:color w:val="000000"/>
              </w:rPr>
              <w:t>Suscripción de la Declaración jurada de pertenencia a los giros focalizados</w:t>
            </w:r>
          </w:p>
        </w:tc>
        <w:tc>
          <w:tcPr>
            <w:tcW w:w="4297" w:type="dxa"/>
          </w:tcPr>
          <w:p w:rsidR="001D4594" w:rsidRDefault="00254E9D">
            <w:pPr>
              <w:ind w:left="25"/>
              <w:jc w:val="both"/>
              <w:rPr>
                <w:rFonts w:ascii="gobCL" w:eastAsia="gobCL" w:hAnsi="gobCL" w:cs="gobCL"/>
              </w:rPr>
            </w:pPr>
            <w:r>
              <w:rPr>
                <w:rFonts w:ascii="gobCL" w:eastAsia="gobCL" w:hAnsi="gobCL" w:cs="gobCL"/>
              </w:rPr>
              <w:t>Declaración jurada de pertenencia a los giros focalizados Anexo N° 5.</w:t>
            </w:r>
          </w:p>
        </w:tc>
      </w:tr>
    </w:tbl>
    <w:p w:rsidR="001D4594" w:rsidRDefault="001D4594">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D4594">
        <w:tc>
          <w:tcPr>
            <w:tcW w:w="8828" w:type="dxa"/>
            <w:shd w:val="clear" w:color="auto" w:fill="D9D9D9"/>
          </w:tcPr>
          <w:p w:rsidR="001D4594" w:rsidRDefault="00254E9D">
            <w:pPr>
              <w:rPr>
                <w:rFonts w:ascii="gobCL" w:eastAsia="gobCL" w:hAnsi="gobCL" w:cs="gobCL"/>
                <w:b/>
              </w:rPr>
            </w:pPr>
            <w:r>
              <w:rPr>
                <w:rFonts w:ascii="gobCL" w:eastAsia="gobCL" w:hAnsi="gobCL" w:cs="gobCL"/>
                <w:b/>
              </w:rPr>
              <w:t>Sólo para el caso de personas naturales o jurídicas con inicio de actividades en primera categoría:</w:t>
            </w:r>
          </w:p>
        </w:tc>
      </w:tr>
    </w:tbl>
    <w:p w:rsidR="001D4594" w:rsidRDefault="001D4594">
      <w:pPr>
        <w:widowControl w:val="0"/>
        <w:pBdr>
          <w:top w:val="nil"/>
          <w:left w:val="nil"/>
          <w:bottom w:val="nil"/>
          <w:right w:val="nil"/>
          <w:between w:val="nil"/>
        </w:pBdr>
        <w:spacing w:after="0" w:line="276" w:lineRule="auto"/>
        <w:rPr>
          <w:rFonts w:ascii="gobCL" w:eastAsia="gobCL" w:hAnsi="gobCL" w:cs="gobCL"/>
          <w:b/>
        </w:rPr>
      </w:pPr>
    </w:p>
    <w:tbl>
      <w:tblPr>
        <w:tblStyle w:val="af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D4594">
        <w:trPr>
          <w:trHeight w:val="608"/>
        </w:trPr>
        <w:tc>
          <w:tcPr>
            <w:tcW w:w="4531" w:type="dxa"/>
          </w:tcPr>
          <w:p w:rsidR="001D4594" w:rsidRDefault="00254E9D">
            <w:pPr>
              <w:jc w:val="both"/>
              <w:rPr>
                <w:rFonts w:ascii="gobCL" w:eastAsia="gobCL" w:hAnsi="gobCL" w:cs="gobCL"/>
              </w:rPr>
            </w:pPr>
            <w:r>
              <w:rPr>
                <w:rFonts w:ascii="gobCL" w:eastAsia="gobCL" w:hAnsi="gobCL" w:cs="gobCL"/>
              </w:rPr>
              <w:t>En caso de ser persona jurídica, la empresa deberá estar legalmente constituida.</w:t>
            </w:r>
          </w:p>
        </w:tc>
        <w:tc>
          <w:tcPr>
            <w:tcW w:w="4297" w:type="dxa"/>
          </w:tcPr>
          <w:p w:rsidR="001D4594" w:rsidRDefault="00254E9D">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1D4594">
        <w:tc>
          <w:tcPr>
            <w:tcW w:w="4531" w:type="dxa"/>
          </w:tcPr>
          <w:p w:rsidR="001D4594" w:rsidRDefault="00254E9D">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1D4594" w:rsidRDefault="00254E9D">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1D4594">
        <w:tc>
          <w:tcPr>
            <w:tcW w:w="4531" w:type="dxa"/>
          </w:tcPr>
          <w:p w:rsidR="001D4594" w:rsidRDefault="00254E9D">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1D4594" w:rsidRDefault="00254E9D">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1D4594">
        <w:tc>
          <w:tcPr>
            <w:tcW w:w="4531" w:type="dxa"/>
          </w:tcPr>
          <w:p w:rsidR="001D4594" w:rsidRDefault="00254E9D">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1D4594" w:rsidRDefault="00254E9D">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1D4594">
        <w:tc>
          <w:tcPr>
            <w:tcW w:w="4531" w:type="dxa"/>
          </w:tcPr>
          <w:p w:rsidR="001D4594" w:rsidRDefault="00254E9D">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1D4594" w:rsidRDefault="00254E9D">
            <w:pPr>
              <w:ind w:left="25"/>
              <w:jc w:val="both"/>
              <w:rPr>
                <w:rFonts w:ascii="gobCL" w:eastAsia="gobCL" w:hAnsi="gobCL" w:cs="gobCL"/>
              </w:rPr>
            </w:pPr>
            <w:r>
              <w:rPr>
                <w:rFonts w:ascii="gobCL" w:eastAsia="gobCL" w:hAnsi="gobCL" w:cs="gobCL"/>
              </w:rPr>
              <w:t>Requisito validado por Sercotec para el RUT de la empresa postulante.</w:t>
            </w:r>
          </w:p>
        </w:tc>
      </w:tr>
      <w:tr w:rsidR="001D4594">
        <w:tc>
          <w:tcPr>
            <w:tcW w:w="4531" w:type="dxa"/>
          </w:tcPr>
          <w:p w:rsidR="001D4594" w:rsidRDefault="00254E9D">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1D4594" w:rsidRDefault="00254E9D">
            <w:pPr>
              <w:ind w:left="25"/>
              <w:jc w:val="both"/>
              <w:rPr>
                <w:rFonts w:ascii="gobCL" w:eastAsia="gobCL" w:hAnsi="gobCL" w:cs="gobCL"/>
              </w:rPr>
            </w:pPr>
            <w:r>
              <w:rPr>
                <w:rFonts w:ascii="gobCL" w:eastAsia="gobCL" w:hAnsi="gobCL" w:cs="gobCL"/>
              </w:rPr>
              <w:t>Requisito validado por Sercotec para el RUT de la empresa postulante.</w:t>
            </w:r>
          </w:p>
        </w:tc>
      </w:tr>
      <w:tr w:rsidR="001D4594">
        <w:tc>
          <w:tcPr>
            <w:tcW w:w="4531" w:type="dxa"/>
          </w:tcPr>
          <w:p w:rsidR="001D4594" w:rsidRDefault="00254E9D">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1D4594" w:rsidRDefault="00254E9D">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1D4594" w:rsidRDefault="00254E9D">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1D4594" w:rsidRDefault="00254E9D">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1D4594" w:rsidRDefault="00254E9D">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1D4594" w:rsidRDefault="00254E9D">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1D4594" w:rsidRDefault="00254E9D">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1D4594" w:rsidRDefault="001D4594"/>
    <w:p w:rsidR="001D4594" w:rsidRDefault="001D4594">
      <w:pPr>
        <w:rPr>
          <w:rFonts w:ascii="gobCL" w:eastAsia="gobCL" w:hAnsi="gobCL" w:cs="gobCL"/>
          <w:b/>
          <w:color w:val="000000"/>
          <w:sz w:val="20"/>
          <w:szCs w:val="20"/>
        </w:rPr>
      </w:pPr>
    </w:p>
    <w:p w:rsidR="001D4594" w:rsidRDefault="00254E9D">
      <w:pPr>
        <w:rPr>
          <w:rFonts w:ascii="gobCL" w:eastAsia="gobCL" w:hAnsi="gobCL" w:cs="gobCL"/>
          <w:b/>
          <w:color w:val="000000"/>
          <w:sz w:val="20"/>
          <w:szCs w:val="20"/>
        </w:rPr>
      </w:pPr>
      <w:r>
        <w:br w:type="page"/>
      </w:r>
    </w:p>
    <w:p w:rsidR="001D4594" w:rsidRDefault="00254E9D">
      <w:pPr>
        <w:jc w:val="center"/>
        <w:rPr>
          <w:rFonts w:ascii="gobCL" w:eastAsia="gobCL" w:hAnsi="gobCL" w:cs="gobCL"/>
          <w:b/>
          <w:color w:val="000000"/>
          <w:sz w:val="20"/>
          <w:szCs w:val="20"/>
        </w:rPr>
      </w:pPr>
      <w:r>
        <w:rPr>
          <w:rFonts w:ascii="gobCL" w:eastAsia="gobCL" w:hAnsi="gobCL" w:cs="gobCL"/>
          <w:b/>
          <w:color w:val="000000"/>
          <w:sz w:val="20"/>
          <w:szCs w:val="20"/>
        </w:rPr>
        <w:t>ANEXO N°2</w:t>
      </w:r>
    </w:p>
    <w:p w:rsidR="001D4594" w:rsidRDefault="001D459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1D4594" w:rsidRDefault="00254E9D">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1D4594" w:rsidRDefault="00254E9D">
      <w:pPr>
        <w:jc w:val="center"/>
        <w:rPr>
          <w:rFonts w:ascii="gobCL" w:eastAsia="gobCL" w:hAnsi="gobCL" w:cs="gobCL"/>
          <w:b/>
          <w:sz w:val="20"/>
          <w:szCs w:val="20"/>
        </w:rPr>
      </w:pPr>
      <w:r>
        <w:rPr>
          <w:rFonts w:ascii="gobCL" w:eastAsia="gobCL" w:hAnsi="gobCL" w:cs="gobCL"/>
          <w:b/>
          <w:sz w:val="20"/>
          <w:szCs w:val="20"/>
        </w:rPr>
        <w:t>EN LA RENDICIÓN DE LOS GASTOS</w:t>
      </w:r>
    </w:p>
    <w:p w:rsidR="001D4594" w:rsidRDefault="00254E9D">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1D4594" w:rsidRDefault="00254E9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1D4594" w:rsidRDefault="00254E9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1D4594" w:rsidRDefault="00254E9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1D4594" w:rsidRDefault="00254E9D">
      <w:pPr>
        <w:numPr>
          <w:ilvl w:val="0"/>
          <w:numId w:val="7"/>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1D4594" w:rsidRDefault="00254E9D">
      <w:pPr>
        <w:numPr>
          <w:ilvl w:val="0"/>
          <w:numId w:val="7"/>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1D4594" w:rsidRDefault="00254E9D">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3"/>
        <w:tblW w:w="3997" w:type="dxa"/>
        <w:tblInd w:w="2479" w:type="dxa"/>
        <w:tblLayout w:type="fixed"/>
        <w:tblLook w:val="0000" w:firstRow="0" w:lastRow="0" w:firstColumn="0" w:lastColumn="0" w:noHBand="0" w:noVBand="0"/>
      </w:tblPr>
      <w:tblGrid>
        <w:gridCol w:w="540"/>
        <w:gridCol w:w="626"/>
        <w:gridCol w:w="2831"/>
      </w:tblGrid>
      <w:tr w:rsidR="001D4594">
        <w:tc>
          <w:tcPr>
            <w:tcW w:w="540" w:type="dxa"/>
          </w:tcPr>
          <w:p w:rsidR="001D4594" w:rsidRDefault="001D4594">
            <w:pPr>
              <w:spacing w:after="200" w:line="276" w:lineRule="auto"/>
              <w:rPr>
                <w:rFonts w:ascii="gobCL" w:eastAsia="gobCL" w:hAnsi="gobCL" w:cs="gobCL"/>
              </w:rPr>
            </w:pPr>
          </w:p>
        </w:tc>
        <w:tc>
          <w:tcPr>
            <w:tcW w:w="626" w:type="dxa"/>
          </w:tcPr>
          <w:p w:rsidR="001D4594" w:rsidRDefault="001D4594">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1D4594" w:rsidRDefault="001D4594">
            <w:pPr>
              <w:spacing w:after="200" w:line="276" w:lineRule="auto"/>
              <w:rPr>
                <w:rFonts w:ascii="gobCL" w:eastAsia="gobCL" w:hAnsi="gobCL" w:cs="gobCL"/>
              </w:rPr>
            </w:pPr>
          </w:p>
        </w:tc>
      </w:tr>
      <w:tr w:rsidR="001D4594">
        <w:tc>
          <w:tcPr>
            <w:tcW w:w="540" w:type="dxa"/>
          </w:tcPr>
          <w:p w:rsidR="001D4594" w:rsidRDefault="001D4594">
            <w:pPr>
              <w:spacing w:after="200" w:line="276" w:lineRule="auto"/>
              <w:rPr>
                <w:rFonts w:ascii="gobCL" w:eastAsia="gobCL" w:hAnsi="gobCL" w:cs="gobCL"/>
              </w:rPr>
            </w:pPr>
          </w:p>
        </w:tc>
        <w:tc>
          <w:tcPr>
            <w:tcW w:w="626" w:type="dxa"/>
          </w:tcPr>
          <w:p w:rsidR="001D4594" w:rsidRDefault="001D4594">
            <w:pPr>
              <w:spacing w:after="200" w:line="276" w:lineRule="auto"/>
              <w:rPr>
                <w:rFonts w:ascii="gobCL" w:eastAsia="gobCL" w:hAnsi="gobCL" w:cs="gobCL"/>
              </w:rPr>
            </w:pPr>
          </w:p>
        </w:tc>
        <w:tc>
          <w:tcPr>
            <w:tcW w:w="2831" w:type="dxa"/>
          </w:tcPr>
          <w:p w:rsidR="001D4594" w:rsidRDefault="00254E9D">
            <w:pPr>
              <w:rPr>
                <w:rFonts w:ascii="gobCL" w:eastAsia="gobCL" w:hAnsi="gobCL" w:cs="gobCL"/>
                <w:b/>
              </w:rPr>
            </w:pPr>
            <w:r>
              <w:rPr>
                <w:rFonts w:ascii="gobCL" w:eastAsia="gobCL" w:hAnsi="gobCL" w:cs="gobCL"/>
                <w:b/>
              </w:rPr>
              <w:t xml:space="preserve">Nombre y Firma </w:t>
            </w:r>
          </w:p>
          <w:p w:rsidR="001D4594" w:rsidRDefault="00254E9D">
            <w:pPr>
              <w:spacing w:after="200" w:line="276" w:lineRule="auto"/>
              <w:rPr>
                <w:rFonts w:ascii="gobCL" w:eastAsia="gobCL" w:hAnsi="gobCL" w:cs="gobCL"/>
              </w:rPr>
            </w:pPr>
            <w:r>
              <w:rPr>
                <w:rFonts w:ascii="gobCL" w:eastAsia="gobCL" w:hAnsi="gobCL" w:cs="gobCL"/>
                <w:b/>
              </w:rPr>
              <w:t>RUT</w:t>
            </w:r>
          </w:p>
        </w:tc>
      </w:tr>
    </w:tbl>
    <w:p w:rsidR="001D4594" w:rsidRDefault="001D4594">
      <w:pPr>
        <w:jc w:val="center"/>
        <w:rPr>
          <w:rFonts w:ascii="gobCL" w:eastAsia="gobCL" w:hAnsi="gobCL" w:cs="gobCL"/>
          <w:b/>
          <w:sz w:val="20"/>
          <w:szCs w:val="20"/>
        </w:rPr>
      </w:pPr>
    </w:p>
    <w:p w:rsidR="001D4594" w:rsidRDefault="00254E9D">
      <w:pPr>
        <w:jc w:val="center"/>
        <w:rPr>
          <w:rFonts w:ascii="gobCL" w:eastAsia="gobCL" w:hAnsi="gobCL" w:cs="gobCL"/>
          <w:b/>
          <w:sz w:val="20"/>
          <w:szCs w:val="20"/>
        </w:rPr>
      </w:pPr>
      <w:r>
        <w:br w:type="page"/>
      </w:r>
      <w:r>
        <w:rPr>
          <w:rFonts w:ascii="gobCL" w:eastAsia="gobCL" w:hAnsi="gobCL" w:cs="gobCL"/>
          <w:b/>
          <w:sz w:val="20"/>
          <w:szCs w:val="20"/>
        </w:rPr>
        <w:t>ANEXO N° 3</w:t>
      </w:r>
    </w:p>
    <w:p w:rsidR="001D4594" w:rsidRDefault="00254E9D">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f4"/>
        <w:tblW w:w="8337" w:type="dxa"/>
        <w:tblInd w:w="0" w:type="dxa"/>
        <w:tblLayout w:type="fixed"/>
        <w:tblLook w:val="0400" w:firstRow="0" w:lastRow="0" w:firstColumn="0" w:lastColumn="0" w:noHBand="0" w:noVBand="1"/>
      </w:tblPr>
      <w:tblGrid>
        <w:gridCol w:w="8337"/>
      </w:tblGrid>
      <w:tr w:rsidR="001D4594">
        <w:trPr>
          <w:trHeight w:val="8127"/>
        </w:trPr>
        <w:tc>
          <w:tcPr>
            <w:tcW w:w="8337" w:type="dxa"/>
            <w:shd w:val="clear" w:color="auto" w:fill="auto"/>
          </w:tcPr>
          <w:p w:rsidR="001D4594" w:rsidRDefault="00254E9D">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1D4594" w:rsidRDefault="00254E9D">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1D4594" w:rsidRDefault="001D4594">
            <w:pPr>
              <w:spacing w:before="240" w:after="240"/>
              <w:jc w:val="both"/>
              <w:rPr>
                <w:rFonts w:ascii="gobCL" w:eastAsia="gobCL" w:hAnsi="gobCL" w:cs="gobCL"/>
              </w:rPr>
            </w:pPr>
          </w:p>
          <w:p w:rsidR="001D4594" w:rsidRDefault="001D4594">
            <w:pPr>
              <w:spacing w:before="240" w:after="240"/>
              <w:jc w:val="both"/>
              <w:rPr>
                <w:rFonts w:ascii="gobCL" w:eastAsia="gobCL" w:hAnsi="gobCL" w:cs="gobCL"/>
              </w:rPr>
            </w:pPr>
          </w:p>
          <w:p w:rsidR="001D4594" w:rsidRDefault="001D4594">
            <w:pPr>
              <w:pBdr>
                <w:bottom w:val="single" w:sz="12" w:space="1" w:color="000000"/>
              </w:pBdr>
              <w:spacing w:before="240" w:after="240"/>
              <w:jc w:val="both"/>
              <w:rPr>
                <w:rFonts w:ascii="gobCL" w:eastAsia="gobCL" w:hAnsi="gobCL" w:cs="gobCL"/>
              </w:rPr>
            </w:pPr>
          </w:p>
          <w:p w:rsidR="001D4594" w:rsidRDefault="00254E9D">
            <w:pPr>
              <w:spacing w:before="240" w:after="240"/>
              <w:jc w:val="both"/>
              <w:rPr>
                <w:rFonts w:ascii="gobCL" w:eastAsia="gobCL" w:hAnsi="gobCL" w:cs="gobCL"/>
              </w:rPr>
            </w:pPr>
            <w:r>
              <w:rPr>
                <w:rFonts w:ascii="gobCL" w:eastAsia="gobCL" w:hAnsi="gobCL" w:cs="gobCL"/>
              </w:rPr>
              <w:t>Beneficiario/a:</w:t>
            </w:r>
          </w:p>
          <w:p w:rsidR="001D4594" w:rsidRDefault="001D4594">
            <w:pPr>
              <w:spacing w:before="240" w:after="240"/>
              <w:jc w:val="both"/>
              <w:rPr>
                <w:rFonts w:ascii="gobCL" w:eastAsia="gobCL" w:hAnsi="gobCL" w:cs="gobCL"/>
              </w:rPr>
            </w:pPr>
          </w:p>
          <w:p w:rsidR="001D4594" w:rsidRDefault="00254E9D">
            <w:pPr>
              <w:spacing w:before="240" w:after="240"/>
              <w:jc w:val="both"/>
              <w:rPr>
                <w:rFonts w:ascii="gobCL" w:eastAsia="gobCL" w:hAnsi="gobCL" w:cs="gobCL"/>
              </w:rPr>
            </w:pPr>
            <w:r>
              <w:rPr>
                <w:rFonts w:ascii="gobCL" w:eastAsia="gobCL" w:hAnsi="gobCL" w:cs="gobCL"/>
              </w:rPr>
              <w:t>Sr./a:………………………………………………………………….</w:t>
            </w:r>
          </w:p>
          <w:p w:rsidR="001D4594" w:rsidRDefault="001D4594">
            <w:pPr>
              <w:spacing w:before="240" w:after="240"/>
              <w:jc w:val="both"/>
              <w:rPr>
                <w:rFonts w:ascii="gobCL" w:eastAsia="gobCL" w:hAnsi="gobCL" w:cs="gobCL"/>
              </w:rPr>
            </w:pPr>
          </w:p>
        </w:tc>
      </w:tr>
    </w:tbl>
    <w:p w:rsidR="001D4594" w:rsidRDefault="001D4594">
      <w:pPr>
        <w:rPr>
          <w:rFonts w:ascii="gobCL" w:eastAsia="gobCL" w:hAnsi="gobCL" w:cs="gobCL"/>
          <w:sz w:val="20"/>
          <w:szCs w:val="20"/>
        </w:rPr>
      </w:pPr>
    </w:p>
    <w:p w:rsidR="001D4594" w:rsidRDefault="001D4594">
      <w:pPr>
        <w:jc w:val="center"/>
        <w:rPr>
          <w:rFonts w:ascii="gobCL" w:eastAsia="gobCL" w:hAnsi="gobCL" w:cs="gobCL"/>
          <w:b/>
          <w:sz w:val="20"/>
          <w:szCs w:val="20"/>
        </w:rPr>
      </w:pPr>
    </w:p>
    <w:p w:rsidR="001D4594" w:rsidRDefault="001D4594">
      <w:pPr>
        <w:jc w:val="center"/>
        <w:rPr>
          <w:rFonts w:ascii="gobCL" w:eastAsia="gobCL" w:hAnsi="gobCL" w:cs="gobCL"/>
          <w:b/>
          <w:sz w:val="20"/>
          <w:szCs w:val="20"/>
        </w:rPr>
      </w:pPr>
    </w:p>
    <w:p w:rsidR="001D4594" w:rsidRDefault="001D4594">
      <w:pPr>
        <w:jc w:val="center"/>
        <w:rPr>
          <w:rFonts w:ascii="gobCL" w:eastAsia="gobCL" w:hAnsi="gobCL" w:cs="gobCL"/>
          <w:b/>
          <w:sz w:val="20"/>
          <w:szCs w:val="20"/>
        </w:rPr>
      </w:pPr>
    </w:p>
    <w:p w:rsidR="001D4594" w:rsidRDefault="001D4594">
      <w:pPr>
        <w:jc w:val="center"/>
        <w:rPr>
          <w:rFonts w:ascii="gobCL" w:eastAsia="gobCL" w:hAnsi="gobCL" w:cs="gobCL"/>
          <w:b/>
          <w:sz w:val="20"/>
          <w:szCs w:val="20"/>
        </w:rPr>
      </w:pPr>
    </w:p>
    <w:p w:rsidR="001D4594" w:rsidRDefault="001D4594">
      <w:pPr>
        <w:jc w:val="center"/>
        <w:rPr>
          <w:rFonts w:ascii="gobCL" w:eastAsia="gobCL" w:hAnsi="gobCL" w:cs="gobCL"/>
          <w:b/>
          <w:sz w:val="20"/>
          <w:szCs w:val="20"/>
        </w:rPr>
      </w:pPr>
    </w:p>
    <w:p w:rsidR="001D4594" w:rsidRDefault="001D4594">
      <w:pPr>
        <w:jc w:val="center"/>
        <w:rPr>
          <w:rFonts w:ascii="gobCL" w:eastAsia="gobCL" w:hAnsi="gobCL" w:cs="gobCL"/>
          <w:b/>
          <w:sz w:val="20"/>
          <w:szCs w:val="20"/>
        </w:rPr>
      </w:pPr>
    </w:p>
    <w:p w:rsidR="001D4594" w:rsidRDefault="001D4594">
      <w:pPr>
        <w:jc w:val="center"/>
        <w:rPr>
          <w:rFonts w:ascii="gobCL" w:eastAsia="gobCL" w:hAnsi="gobCL" w:cs="gobCL"/>
          <w:b/>
          <w:sz w:val="20"/>
          <w:szCs w:val="20"/>
        </w:rPr>
      </w:pPr>
    </w:p>
    <w:p w:rsidR="001D4594" w:rsidRDefault="00254E9D">
      <w:pPr>
        <w:jc w:val="center"/>
        <w:rPr>
          <w:rFonts w:ascii="gobCL" w:eastAsia="gobCL" w:hAnsi="gobCL" w:cs="gobCL"/>
          <w:b/>
          <w:sz w:val="20"/>
          <w:szCs w:val="20"/>
        </w:rPr>
      </w:pPr>
      <w:r>
        <w:rPr>
          <w:rFonts w:ascii="gobCL" w:eastAsia="gobCL" w:hAnsi="gobCL" w:cs="gobCL"/>
          <w:b/>
          <w:sz w:val="20"/>
          <w:szCs w:val="20"/>
        </w:rPr>
        <w:t>ANEXO N°4</w:t>
      </w:r>
    </w:p>
    <w:p w:rsidR="001D4594" w:rsidRDefault="00254E9D">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1D4594" w:rsidRDefault="001D4594">
      <w:pPr>
        <w:rPr>
          <w:rFonts w:ascii="gobCL" w:eastAsia="gobCL" w:hAnsi="gobCL" w:cs="gobCL"/>
          <w:b/>
          <w:sz w:val="20"/>
          <w:szCs w:val="20"/>
        </w:rPr>
      </w:pPr>
    </w:p>
    <w:p w:rsidR="001D4594" w:rsidRDefault="00254E9D">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1D4594" w:rsidRDefault="00254E9D">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como persona natural o jurídica que represento, de un subsidio otorgado con fondos públicos.</w:t>
      </w:r>
      <w:r>
        <w:rPr>
          <w:rFonts w:ascii="gobCL" w:eastAsia="gobCL" w:hAnsi="gobCL" w:cs="gobCL"/>
          <w:sz w:val="20"/>
          <w:szCs w:val="20"/>
        </w:rPr>
        <w:tab/>
      </w:r>
    </w:p>
    <w:p w:rsidR="001D4594" w:rsidRDefault="001D4594">
      <w:pPr>
        <w:jc w:val="both"/>
        <w:rPr>
          <w:rFonts w:ascii="gobCL" w:eastAsia="gobCL" w:hAnsi="gobCL" w:cs="gobCL"/>
          <w:sz w:val="20"/>
          <w:szCs w:val="20"/>
        </w:rPr>
      </w:pPr>
    </w:p>
    <w:p w:rsidR="001D4594" w:rsidRDefault="001D4594">
      <w:pPr>
        <w:jc w:val="both"/>
        <w:rPr>
          <w:rFonts w:ascii="gobCL" w:eastAsia="gobCL" w:hAnsi="gobCL" w:cs="gobCL"/>
          <w:sz w:val="20"/>
          <w:szCs w:val="20"/>
        </w:rPr>
      </w:pPr>
    </w:p>
    <w:p w:rsidR="001D4594" w:rsidRDefault="001D4594">
      <w:pPr>
        <w:jc w:val="both"/>
        <w:rPr>
          <w:rFonts w:ascii="gobCL" w:eastAsia="gobCL" w:hAnsi="gobCL" w:cs="gobCL"/>
          <w:sz w:val="20"/>
          <w:szCs w:val="20"/>
        </w:rPr>
      </w:pPr>
    </w:p>
    <w:p w:rsidR="001D4594" w:rsidRDefault="00254E9D">
      <w:pPr>
        <w:jc w:val="both"/>
        <w:rPr>
          <w:rFonts w:ascii="gobCL" w:eastAsia="gobCL" w:hAnsi="gobCL" w:cs="gobCL"/>
          <w:sz w:val="20"/>
          <w:szCs w:val="20"/>
        </w:rPr>
      </w:pPr>
      <w:r>
        <w:rPr>
          <w:rFonts w:ascii="gobCL" w:eastAsia="gobCL" w:hAnsi="gobCL" w:cs="gobCL"/>
          <w:sz w:val="20"/>
          <w:szCs w:val="20"/>
        </w:rPr>
        <w:t>Beneficiario/a:</w:t>
      </w:r>
    </w:p>
    <w:p w:rsidR="001D4594" w:rsidRDefault="00254E9D">
      <w:pPr>
        <w:rPr>
          <w:rFonts w:ascii="gobCL" w:eastAsia="gobCL" w:hAnsi="gobCL" w:cs="gobCL"/>
          <w:sz w:val="20"/>
          <w:szCs w:val="20"/>
        </w:rPr>
      </w:pPr>
      <w:r>
        <w:br w:type="page"/>
      </w:r>
    </w:p>
    <w:p w:rsidR="001D4594" w:rsidRDefault="00254E9D">
      <w:pPr>
        <w:jc w:val="center"/>
        <w:rPr>
          <w:rFonts w:ascii="gobCL" w:eastAsia="gobCL" w:hAnsi="gobCL" w:cs="gobCL"/>
          <w:b/>
          <w:sz w:val="20"/>
          <w:szCs w:val="20"/>
        </w:rPr>
      </w:pPr>
      <w:bookmarkStart w:id="6" w:name="_heading=h.tyjcwt" w:colFirst="0" w:colLast="0"/>
      <w:bookmarkEnd w:id="6"/>
      <w:r>
        <w:rPr>
          <w:rFonts w:ascii="gobCL" w:eastAsia="gobCL" w:hAnsi="gobCL" w:cs="gobCL"/>
          <w:b/>
          <w:sz w:val="20"/>
          <w:szCs w:val="20"/>
        </w:rPr>
        <w:t>ANEXO N° 5</w:t>
      </w:r>
    </w:p>
    <w:p w:rsidR="001D4594" w:rsidRDefault="00254E9D">
      <w:pPr>
        <w:jc w:val="center"/>
        <w:rPr>
          <w:rFonts w:ascii="gobCL" w:eastAsia="gobCL" w:hAnsi="gobCL" w:cs="gobCL"/>
          <w:b/>
          <w:sz w:val="20"/>
          <w:szCs w:val="20"/>
        </w:rPr>
      </w:pPr>
      <w:r>
        <w:rPr>
          <w:rFonts w:ascii="gobCL" w:eastAsia="gobCL" w:hAnsi="gobCL" w:cs="gobCL"/>
          <w:b/>
          <w:sz w:val="20"/>
          <w:szCs w:val="20"/>
        </w:rPr>
        <w:t xml:space="preserve">DECLARACIÓN JURADA SIMPLE </w:t>
      </w:r>
    </w:p>
    <w:p w:rsidR="001D4594" w:rsidRDefault="00254E9D">
      <w:pPr>
        <w:jc w:val="center"/>
        <w:rPr>
          <w:rFonts w:ascii="gobCL" w:eastAsia="gobCL" w:hAnsi="gobCL" w:cs="gobCL"/>
          <w:b/>
          <w:sz w:val="20"/>
          <w:szCs w:val="20"/>
        </w:rPr>
      </w:pPr>
      <w:r>
        <w:rPr>
          <w:rFonts w:ascii="gobCL" w:eastAsia="gobCL" w:hAnsi="gobCL" w:cs="gobCL"/>
          <w:b/>
          <w:sz w:val="20"/>
          <w:szCs w:val="20"/>
        </w:rPr>
        <w:t>PERTENENCIA A GIROS ECONÓMICOS</w:t>
      </w:r>
    </w:p>
    <w:p w:rsidR="001D4594" w:rsidRDefault="001D4594">
      <w:pPr>
        <w:jc w:val="center"/>
        <w:rPr>
          <w:b/>
        </w:rPr>
      </w:pPr>
    </w:p>
    <w:p w:rsidR="001D4594" w:rsidRDefault="001D4594">
      <w:pPr>
        <w:rPr>
          <w:b/>
        </w:rPr>
      </w:pPr>
    </w:p>
    <w:p w:rsidR="001D4594" w:rsidRDefault="001D4594">
      <w:pPr>
        <w:rPr>
          <w:sz w:val="20"/>
          <w:szCs w:val="20"/>
        </w:rPr>
      </w:pPr>
    </w:p>
    <w:p w:rsidR="001D4594" w:rsidRDefault="00254E9D">
      <w:pPr>
        <w:jc w:val="both"/>
        <w:rPr>
          <w:rFonts w:ascii="gobCL" w:eastAsia="gobCL" w:hAnsi="gobCL" w:cs="gobCL"/>
          <w:sz w:val="20"/>
          <w:szCs w:val="20"/>
        </w:rPr>
      </w:pPr>
      <w:r>
        <w:rPr>
          <w:rFonts w:ascii="gobCL" w:eastAsia="gobCL" w:hAnsi="gobCL" w:cs="gobCL"/>
          <w:sz w:val="20"/>
          <w:szCs w:val="20"/>
        </w:rPr>
        <w:t>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1D4594" w:rsidRDefault="00254E9D">
      <w:pPr>
        <w:jc w:val="both"/>
        <w:rPr>
          <w:rFonts w:ascii="gobCL" w:eastAsia="gobCL" w:hAnsi="gobCL" w:cs="gobCL"/>
          <w:sz w:val="20"/>
          <w:szCs w:val="20"/>
        </w:rPr>
      </w:pPr>
      <w:r>
        <w:rPr>
          <w:rFonts w:ascii="gobCL" w:eastAsia="gobCL" w:hAnsi="gobCL" w:cs="gobCL"/>
          <w:sz w:val="20"/>
          <w:szCs w:val="20"/>
        </w:rPr>
        <w:t xml:space="preserve"> </w:t>
      </w:r>
    </w:p>
    <w:p w:rsidR="001D4594" w:rsidRDefault="001D4594">
      <w:pPr>
        <w:jc w:val="both"/>
        <w:rPr>
          <w:rFonts w:ascii="gobCL" w:eastAsia="gobCL" w:hAnsi="gobCL" w:cs="gobCL"/>
          <w:sz w:val="20"/>
          <w:szCs w:val="20"/>
        </w:rPr>
      </w:pPr>
    </w:p>
    <w:p w:rsidR="001D4594" w:rsidRDefault="00254E9D">
      <w:pPr>
        <w:jc w:val="both"/>
        <w:rPr>
          <w:rFonts w:ascii="gobCL" w:eastAsia="gobCL" w:hAnsi="gobCL" w:cs="gobCL"/>
          <w:sz w:val="20"/>
          <w:szCs w:val="20"/>
        </w:rPr>
      </w:pPr>
      <w:r>
        <w:rPr>
          <w:rFonts w:ascii="gobCL" w:eastAsia="gobCL" w:hAnsi="gobCL" w:cs="gobCL"/>
          <w:sz w:val="20"/>
          <w:szCs w:val="20"/>
        </w:rPr>
        <w:t xml:space="preserve">Marcar con una (x) al lado derecho del giro que corresponda </w:t>
      </w:r>
    </w:p>
    <w:tbl>
      <w:tblPr>
        <w:tblStyle w:val="af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938"/>
      </w:tblGrid>
      <w:tr w:rsidR="001D4594">
        <w:tc>
          <w:tcPr>
            <w:tcW w:w="846" w:type="dxa"/>
          </w:tcPr>
          <w:p w:rsidR="001D4594" w:rsidRDefault="001D4594">
            <w:pPr>
              <w:spacing w:line="360" w:lineRule="auto"/>
              <w:ind w:right="-425"/>
              <w:jc w:val="both"/>
              <w:rPr>
                <w:rFonts w:ascii="Verdana" w:eastAsia="Verdana" w:hAnsi="Verdana" w:cs="Verdana"/>
              </w:rPr>
            </w:pPr>
          </w:p>
        </w:tc>
        <w:tc>
          <w:tcPr>
            <w:tcW w:w="7938" w:type="dxa"/>
            <w:vAlign w:val="center"/>
          </w:tcPr>
          <w:p w:rsidR="001D4594" w:rsidRDefault="00254E9D">
            <w:pPr>
              <w:jc w:val="both"/>
              <w:rPr>
                <w:rFonts w:ascii="gobCL" w:eastAsia="gobCL" w:hAnsi="gobCL" w:cs="gobCL"/>
                <w:sz w:val="20"/>
                <w:szCs w:val="20"/>
              </w:rPr>
            </w:pPr>
            <w:r>
              <w:rPr>
                <w:rFonts w:ascii="gobCL" w:eastAsia="gobCL" w:hAnsi="gobCL" w:cs="gobCL"/>
                <w:sz w:val="20"/>
                <w:szCs w:val="20"/>
              </w:rPr>
              <w:t>960200: Peluquería y otros tratamientos de belleza.</w:t>
            </w:r>
          </w:p>
        </w:tc>
      </w:tr>
      <w:tr w:rsidR="001D4594">
        <w:tc>
          <w:tcPr>
            <w:tcW w:w="846" w:type="dxa"/>
          </w:tcPr>
          <w:p w:rsidR="001D4594" w:rsidRDefault="00254E9D">
            <w:pPr>
              <w:spacing w:line="360" w:lineRule="auto"/>
              <w:ind w:right="-425"/>
              <w:jc w:val="both"/>
              <w:rPr>
                <w:rFonts w:ascii="Verdana" w:eastAsia="Verdana" w:hAnsi="Verdana" w:cs="Verdana"/>
              </w:rPr>
            </w:pPr>
            <w:r>
              <w:rPr>
                <w:rFonts w:ascii="Verdana" w:eastAsia="Verdana" w:hAnsi="Verdana" w:cs="Verdana"/>
              </w:rPr>
              <w:t xml:space="preserve"> </w:t>
            </w:r>
          </w:p>
        </w:tc>
        <w:tc>
          <w:tcPr>
            <w:tcW w:w="7938" w:type="dxa"/>
            <w:vAlign w:val="center"/>
          </w:tcPr>
          <w:p w:rsidR="001D4594" w:rsidRDefault="00254E9D">
            <w:pPr>
              <w:jc w:val="both"/>
              <w:rPr>
                <w:rFonts w:ascii="gobCL" w:eastAsia="gobCL" w:hAnsi="gobCL" w:cs="gobCL"/>
                <w:sz w:val="20"/>
                <w:szCs w:val="20"/>
              </w:rPr>
            </w:pPr>
            <w:r>
              <w:rPr>
                <w:rFonts w:ascii="gobCL" w:eastAsia="gobCL" w:hAnsi="gobCL" w:cs="gobCL"/>
                <w:sz w:val="20"/>
                <w:szCs w:val="20"/>
              </w:rPr>
              <w:t>960902: Actividad de salones de masajes, baños públicos.</w:t>
            </w:r>
          </w:p>
        </w:tc>
      </w:tr>
      <w:tr w:rsidR="001D4594">
        <w:tc>
          <w:tcPr>
            <w:tcW w:w="846" w:type="dxa"/>
          </w:tcPr>
          <w:p w:rsidR="001D4594" w:rsidRDefault="001D4594">
            <w:pPr>
              <w:spacing w:line="360" w:lineRule="auto"/>
              <w:ind w:right="-425"/>
              <w:jc w:val="both"/>
              <w:rPr>
                <w:rFonts w:ascii="Verdana" w:eastAsia="Verdana" w:hAnsi="Verdana" w:cs="Verdana"/>
              </w:rPr>
            </w:pPr>
          </w:p>
        </w:tc>
        <w:tc>
          <w:tcPr>
            <w:tcW w:w="7938" w:type="dxa"/>
            <w:vAlign w:val="center"/>
          </w:tcPr>
          <w:p w:rsidR="001D4594" w:rsidRDefault="00254E9D">
            <w:pPr>
              <w:jc w:val="both"/>
              <w:rPr>
                <w:rFonts w:ascii="gobCL" w:eastAsia="gobCL" w:hAnsi="gobCL" w:cs="gobCL"/>
                <w:sz w:val="20"/>
                <w:szCs w:val="20"/>
              </w:rPr>
            </w:pPr>
            <w:r>
              <w:rPr>
                <w:rFonts w:ascii="gobCL" w:eastAsia="gobCL" w:hAnsi="gobCL" w:cs="gobCL"/>
                <w:sz w:val="20"/>
                <w:szCs w:val="20"/>
              </w:rPr>
              <w:t>960901: Servicio adiestramiento, guardería, peluquería, paseo de mascota, (excepto act. veterinaria).</w:t>
            </w:r>
          </w:p>
        </w:tc>
      </w:tr>
      <w:tr w:rsidR="001D4594">
        <w:tc>
          <w:tcPr>
            <w:tcW w:w="846" w:type="dxa"/>
          </w:tcPr>
          <w:p w:rsidR="001D4594" w:rsidRDefault="001D4594">
            <w:pPr>
              <w:spacing w:line="360" w:lineRule="auto"/>
              <w:ind w:right="-425"/>
              <w:jc w:val="both"/>
              <w:rPr>
                <w:rFonts w:ascii="Verdana" w:eastAsia="Verdana" w:hAnsi="Verdana" w:cs="Verdana"/>
              </w:rPr>
            </w:pPr>
          </w:p>
        </w:tc>
        <w:tc>
          <w:tcPr>
            <w:tcW w:w="7938" w:type="dxa"/>
            <w:vAlign w:val="center"/>
          </w:tcPr>
          <w:p w:rsidR="001D4594" w:rsidRDefault="00254E9D">
            <w:pPr>
              <w:jc w:val="both"/>
              <w:rPr>
                <w:rFonts w:ascii="gobCL" w:eastAsia="gobCL" w:hAnsi="gobCL" w:cs="gobCL"/>
                <w:sz w:val="20"/>
                <w:szCs w:val="20"/>
              </w:rPr>
            </w:pPr>
            <w:r>
              <w:rPr>
                <w:rFonts w:ascii="gobCL" w:eastAsia="gobCL" w:hAnsi="gobCL" w:cs="gobCL"/>
                <w:sz w:val="20"/>
                <w:szCs w:val="20"/>
              </w:rPr>
              <w:t>869091: Otros servicios de atención de la salud humana prestados por empresas.</w:t>
            </w:r>
          </w:p>
        </w:tc>
      </w:tr>
      <w:tr w:rsidR="001D4594">
        <w:tc>
          <w:tcPr>
            <w:tcW w:w="846" w:type="dxa"/>
          </w:tcPr>
          <w:p w:rsidR="001D4594" w:rsidRDefault="001D4594">
            <w:pPr>
              <w:spacing w:line="360" w:lineRule="auto"/>
              <w:ind w:right="-425"/>
              <w:jc w:val="both"/>
              <w:rPr>
                <w:rFonts w:ascii="Verdana" w:eastAsia="Verdana" w:hAnsi="Verdana" w:cs="Verdana"/>
              </w:rPr>
            </w:pPr>
          </w:p>
        </w:tc>
        <w:tc>
          <w:tcPr>
            <w:tcW w:w="7938" w:type="dxa"/>
            <w:vAlign w:val="center"/>
          </w:tcPr>
          <w:p w:rsidR="001D4594" w:rsidRDefault="00254E9D">
            <w:pPr>
              <w:jc w:val="both"/>
              <w:rPr>
                <w:rFonts w:ascii="gobCL" w:eastAsia="gobCL" w:hAnsi="gobCL" w:cs="gobCL"/>
                <w:sz w:val="20"/>
                <w:szCs w:val="20"/>
              </w:rPr>
            </w:pPr>
            <w:r>
              <w:rPr>
                <w:rFonts w:ascii="gobCL" w:eastAsia="gobCL" w:hAnsi="gobCL" w:cs="gobCL"/>
                <w:sz w:val="20"/>
                <w:szCs w:val="20"/>
              </w:rPr>
              <w:t>960909: Otras actividades de servicios personales N.C.P.</w:t>
            </w:r>
          </w:p>
        </w:tc>
      </w:tr>
      <w:tr w:rsidR="001D4594">
        <w:tc>
          <w:tcPr>
            <w:tcW w:w="846" w:type="dxa"/>
          </w:tcPr>
          <w:p w:rsidR="001D4594" w:rsidRDefault="001D4594">
            <w:pPr>
              <w:spacing w:line="360" w:lineRule="auto"/>
              <w:ind w:right="-425"/>
              <w:jc w:val="both"/>
              <w:rPr>
                <w:rFonts w:ascii="Verdana" w:eastAsia="Verdana" w:hAnsi="Verdana" w:cs="Verdana"/>
              </w:rPr>
            </w:pPr>
          </w:p>
        </w:tc>
        <w:tc>
          <w:tcPr>
            <w:tcW w:w="7938" w:type="dxa"/>
            <w:vAlign w:val="center"/>
          </w:tcPr>
          <w:p w:rsidR="001D4594" w:rsidRDefault="00254E9D">
            <w:pPr>
              <w:jc w:val="both"/>
              <w:rPr>
                <w:rFonts w:ascii="gobCL" w:eastAsia="gobCL" w:hAnsi="gobCL" w:cs="gobCL"/>
                <w:sz w:val="20"/>
                <w:szCs w:val="20"/>
              </w:rPr>
            </w:pPr>
            <w:r>
              <w:rPr>
                <w:rFonts w:ascii="gobCL" w:eastAsia="gobCL" w:hAnsi="gobCL" w:cs="gobCL"/>
                <w:sz w:val="20"/>
                <w:szCs w:val="20"/>
              </w:rPr>
              <w:t>869092: Servicios prestados de forma independiente por otros profesionales de la salud.</w:t>
            </w:r>
          </w:p>
        </w:tc>
      </w:tr>
    </w:tbl>
    <w:p w:rsidR="001D4594" w:rsidRDefault="001D4594">
      <w:pPr>
        <w:rPr>
          <w:b/>
          <w:sz w:val="28"/>
          <w:szCs w:val="28"/>
        </w:rPr>
      </w:pPr>
    </w:p>
    <w:p w:rsidR="001D4594" w:rsidRDefault="001D4594">
      <w:pPr>
        <w:rPr>
          <w:b/>
          <w:sz w:val="28"/>
          <w:szCs w:val="28"/>
        </w:rPr>
      </w:pPr>
    </w:p>
    <w:p w:rsidR="001D4594" w:rsidRDefault="001D4594">
      <w:pPr>
        <w:rPr>
          <w:b/>
          <w:sz w:val="28"/>
          <w:szCs w:val="28"/>
        </w:rPr>
      </w:pPr>
    </w:p>
    <w:p w:rsidR="001D4594" w:rsidRDefault="001D4594">
      <w:pPr>
        <w:rPr>
          <w:b/>
          <w:sz w:val="28"/>
          <w:szCs w:val="28"/>
        </w:rPr>
      </w:pPr>
    </w:p>
    <w:p w:rsidR="001D4594" w:rsidRDefault="00254E9D">
      <w:r>
        <w:t>Da fe con su firma;</w:t>
      </w:r>
    </w:p>
    <w:tbl>
      <w:tblPr>
        <w:tblStyle w:val="afff6"/>
        <w:tblW w:w="3997" w:type="dxa"/>
        <w:tblInd w:w="2479" w:type="dxa"/>
        <w:tblLayout w:type="fixed"/>
        <w:tblLook w:val="0000" w:firstRow="0" w:lastRow="0" w:firstColumn="0" w:lastColumn="0" w:noHBand="0" w:noVBand="0"/>
      </w:tblPr>
      <w:tblGrid>
        <w:gridCol w:w="540"/>
        <w:gridCol w:w="626"/>
        <w:gridCol w:w="2831"/>
      </w:tblGrid>
      <w:tr w:rsidR="001D4594">
        <w:tc>
          <w:tcPr>
            <w:tcW w:w="540" w:type="dxa"/>
          </w:tcPr>
          <w:p w:rsidR="001D4594" w:rsidRDefault="001D4594"/>
        </w:tc>
        <w:tc>
          <w:tcPr>
            <w:tcW w:w="626" w:type="dxa"/>
          </w:tcPr>
          <w:p w:rsidR="001D4594" w:rsidRDefault="001D4594"/>
        </w:tc>
        <w:tc>
          <w:tcPr>
            <w:tcW w:w="2832" w:type="dxa"/>
            <w:tcBorders>
              <w:top w:val="single" w:sz="4" w:space="0" w:color="000000"/>
              <w:left w:val="nil"/>
              <w:bottom w:val="nil"/>
              <w:right w:val="nil"/>
            </w:tcBorders>
          </w:tcPr>
          <w:p w:rsidR="001D4594" w:rsidRDefault="001D4594"/>
        </w:tc>
      </w:tr>
      <w:tr w:rsidR="001D4594">
        <w:tc>
          <w:tcPr>
            <w:tcW w:w="540" w:type="dxa"/>
          </w:tcPr>
          <w:p w:rsidR="001D4594" w:rsidRDefault="001D4594"/>
        </w:tc>
        <w:tc>
          <w:tcPr>
            <w:tcW w:w="626" w:type="dxa"/>
          </w:tcPr>
          <w:p w:rsidR="001D4594" w:rsidRDefault="001D4594"/>
        </w:tc>
        <w:tc>
          <w:tcPr>
            <w:tcW w:w="2832" w:type="dxa"/>
          </w:tcPr>
          <w:p w:rsidR="001D4594" w:rsidRDefault="00254E9D">
            <w:pPr>
              <w:rPr>
                <w:b/>
              </w:rPr>
            </w:pPr>
            <w:r>
              <w:rPr>
                <w:b/>
              </w:rPr>
              <w:t xml:space="preserve">Nombre y Firma </w:t>
            </w:r>
          </w:p>
          <w:p w:rsidR="001D4594" w:rsidRDefault="00254E9D">
            <w:r>
              <w:rPr>
                <w:b/>
              </w:rPr>
              <w:t>RUT</w:t>
            </w:r>
          </w:p>
        </w:tc>
      </w:tr>
    </w:tbl>
    <w:p w:rsidR="001D4594" w:rsidRDefault="00254E9D">
      <w:pPr>
        <w:rPr>
          <w:rFonts w:ascii="gobCL" w:eastAsia="gobCL" w:hAnsi="gobCL" w:cs="gobCL"/>
        </w:rPr>
      </w:pPr>
      <w:r>
        <w:rPr>
          <w:rFonts w:ascii="gobCL" w:eastAsia="gobCL" w:hAnsi="gobCL" w:cs="gobCL"/>
        </w:rPr>
        <w:t xml:space="preserve"> </w:t>
      </w:r>
    </w:p>
    <w:sectPr w:rsidR="001D4594">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BB" w:rsidRDefault="00FB12BB">
      <w:pPr>
        <w:spacing w:after="0" w:line="240" w:lineRule="auto"/>
      </w:pPr>
      <w:r>
        <w:separator/>
      </w:r>
    </w:p>
  </w:endnote>
  <w:endnote w:type="continuationSeparator" w:id="0">
    <w:p w:rsidR="00FB12BB" w:rsidRDefault="00FB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94" w:rsidRDefault="00254E9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4E13">
      <w:rPr>
        <w:noProof/>
        <w:color w:val="000000"/>
      </w:rPr>
      <w:t>12</w:t>
    </w:r>
    <w:r>
      <w:rPr>
        <w:color w:val="000000"/>
      </w:rPr>
      <w:fldChar w:fldCharType="end"/>
    </w:r>
  </w:p>
  <w:p w:rsidR="001D4594" w:rsidRDefault="001D4594"/>
  <w:p w:rsidR="001D4594" w:rsidRDefault="001D45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BB" w:rsidRDefault="00FB12BB">
      <w:pPr>
        <w:spacing w:after="0" w:line="240" w:lineRule="auto"/>
      </w:pPr>
      <w:r>
        <w:separator/>
      </w:r>
    </w:p>
  </w:footnote>
  <w:footnote w:type="continuationSeparator" w:id="0">
    <w:p w:rsidR="00FB12BB" w:rsidRDefault="00FB12BB">
      <w:pPr>
        <w:spacing w:after="0" w:line="240" w:lineRule="auto"/>
      </w:pPr>
      <w:r>
        <w:continuationSeparator/>
      </w:r>
    </w:p>
  </w:footnote>
  <w:footnote w:id="1">
    <w:p w:rsidR="001D4594" w:rsidRDefault="00254E9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Si bien las personas que tributan en segunda categoría lo hacen en función de la renta, para el caso de las presentes bases se ha homologado dicho término con el de ventas.</w:t>
      </w:r>
    </w:p>
  </w:footnote>
  <w:footnote w:id="2">
    <w:p w:rsidR="001D4594" w:rsidRDefault="00254E9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no se hace responsable por eventuales errores en la información provista por el Servicio de Impuestos Internos. </w:t>
      </w:r>
    </w:p>
  </w:footnote>
  <w:footnote w:id="3">
    <w:p w:rsidR="001D4594" w:rsidRDefault="00254E9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4">
    <w:p w:rsidR="001D4594" w:rsidRDefault="00254E9D">
      <w:pPr>
        <w:spacing w:after="0" w:line="240" w:lineRule="auto"/>
        <w:jc w:val="both"/>
        <w:rPr>
          <w:sz w:val="20"/>
          <w:szCs w:val="20"/>
        </w:rPr>
      </w:pPr>
      <w:r>
        <w:rPr>
          <w:vertAlign w:val="superscript"/>
        </w:rPr>
        <w:footnoteRef/>
      </w:r>
      <w:r>
        <w:rPr>
          <w:sz w:val="20"/>
          <w:szCs w:val="20"/>
        </w:rPr>
        <w:t xml:space="preserve"> Este requisito se verificará al momento de la formalización a través de declaración jurada de Probidad (Anexo N° 3).</w:t>
      </w:r>
    </w:p>
  </w:footnote>
  <w:footnote w:id="5">
    <w:p w:rsidR="001D4594" w:rsidRDefault="00254E9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6">
    <w:p w:rsidR="001D4594" w:rsidRDefault="00254E9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7">
    <w:p w:rsidR="001D4594" w:rsidRDefault="00254E9D">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8">
    <w:p w:rsidR="001D4594" w:rsidRDefault="00254E9D">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9">
    <w:p w:rsidR="001D4594" w:rsidRDefault="00254E9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10">
    <w:p w:rsidR="001D4594" w:rsidRDefault="00254E9D">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1">
    <w:p w:rsidR="001D4594" w:rsidRDefault="00254E9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1D4594" w:rsidRDefault="001D4594">
      <w:pPr>
        <w:pBdr>
          <w:top w:val="nil"/>
          <w:left w:val="nil"/>
          <w:bottom w:val="nil"/>
          <w:right w:val="nil"/>
          <w:between w:val="nil"/>
        </w:pBdr>
        <w:spacing w:after="0" w:line="240" w:lineRule="auto"/>
        <w:rPr>
          <w:color w:val="000000"/>
          <w:sz w:val="20"/>
          <w:szCs w:val="20"/>
        </w:rPr>
      </w:pPr>
    </w:p>
  </w:footnote>
  <w:footnote w:id="12">
    <w:p w:rsidR="001D4594" w:rsidRDefault="00254E9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3">
    <w:p w:rsidR="001D4594" w:rsidRDefault="00254E9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1D4594" w:rsidRDefault="001D4594">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2C78"/>
    <w:multiLevelType w:val="multilevel"/>
    <w:tmpl w:val="8668C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E3330E"/>
    <w:multiLevelType w:val="multilevel"/>
    <w:tmpl w:val="9E7435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A0565E"/>
    <w:multiLevelType w:val="multilevel"/>
    <w:tmpl w:val="2A14977A"/>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3D43705A"/>
    <w:multiLevelType w:val="multilevel"/>
    <w:tmpl w:val="0068FD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5A029C"/>
    <w:multiLevelType w:val="multilevel"/>
    <w:tmpl w:val="830037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891A08"/>
    <w:multiLevelType w:val="multilevel"/>
    <w:tmpl w:val="B9F8E3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0DF46FF"/>
    <w:multiLevelType w:val="multilevel"/>
    <w:tmpl w:val="E0965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F74D1C"/>
    <w:multiLevelType w:val="multilevel"/>
    <w:tmpl w:val="D61C6F6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59A312D2"/>
    <w:multiLevelType w:val="multilevel"/>
    <w:tmpl w:val="693A35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1A784F"/>
    <w:multiLevelType w:val="multilevel"/>
    <w:tmpl w:val="5D4EFB8A"/>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62343BDE"/>
    <w:multiLevelType w:val="multilevel"/>
    <w:tmpl w:val="D60411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1A57EA"/>
    <w:multiLevelType w:val="multilevel"/>
    <w:tmpl w:val="FE767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0F5694"/>
    <w:multiLevelType w:val="multilevel"/>
    <w:tmpl w:val="72E2B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BB04CD"/>
    <w:multiLevelType w:val="multilevel"/>
    <w:tmpl w:val="CE4008B6"/>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CD54E5D"/>
    <w:multiLevelType w:val="multilevel"/>
    <w:tmpl w:val="1A907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8"/>
  </w:num>
  <w:num w:numId="3">
    <w:abstractNumId w:val="0"/>
  </w:num>
  <w:num w:numId="4">
    <w:abstractNumId w:val="1"/>
  </w:num>
  <w:num w:numId="5">
    <w:abstractNumId w:val="10"/>
  </w:num>
  <w:num w:numId="6">
    <w:abstractNumId w:val="14"/>
  </w:num>
  <w:num w:numId="7">
    <w:abstractNumId w:val="11"/>
  </w:num>
  <w:num w:numId="8">
    <w:abstractNumId w:val="9"/>
  </w:num>
  <w:num w:numId="9">
    <w:abstractNumId w:val="2"/>
  </w:num>
  <w:num w:numId="10">
    <w:abstractNumId w:val="4"/>
  </w:num>
  <w:num w:numId="11">
    <w:abstractNumId w:val="6"/>
  </w:num>
  <w:num w:numId="12">
    <w:abstractNumId w:val="7"/>
  </w:num>
  <w:num w:numId="13">
    <w:abstractNumId w:val="5"/>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94"/>
    <w:rsid w:val="000F64DF"/>
    <w:rsid w:val="00184E13"/>
    <w:rsid w:val="001D4594"/>
    <w:rsid w:val="00254E9D"/>
    <w:rsid w:val="00303A7B"/>
    <w:rsid w:val="00596F70"/>
    <w:rsid w:val="008220CD"/>
    <w:rsid w:val="00985413"/>
    <w:rsid w:val="00D50B91"/>
    <w:rsid w:val="00D865D2"/>
    <w:rsid w:val="00FB12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CF2B6-7DB6-4F01-BC2B-1D57ECA5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tblPr>
      <w:tblStyleRowBandSize w:val="1"/>
      <w:tblStyleColBandSize w:val="1"/>
      <w:tblCellMar>
        <w:left w:w="108" w:type="dxa"/>
        <w:right w:w="108" w:type="dxa"/>
      </w:tblCellMar>
    </w:tblPr>
  </w:style>
  <w:style w:type="table" w:customStyle="1" w:styleId="a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bBhKfFjkXPq7CA66UfxcMbugIw==">AMUW2mXreqayNU4UVjaExuBNH7UH1e+CMPiWjpatrnTXFlRanQVj7X2agIDKEdxtHnHUJ7mTrcwtbbPPs6bMK0HUcwtdbleO6NnleBP6uTZHs5vRDaXVpR5e40FJfF9eLpphUNamBO1BVXDGMVUBLVfAVN8MmjimgNqkM1wdkz/Tll1AaNaVBrO19yBgDpp3E4qu2h4LMv+I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9018</Words>
  <Characters>49601</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4</cp:revision>
  <dcterms:created xsi:type="dcterms:W3CDTF">2021-07-15T20:23:00Z</dcterms:created>
  <dcterms:modified xsi:type="dcterms:W3CDTF">2021-07-15T21:23:00Z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