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72" w:rsidRDefault="001325D8">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9A1672" w:rsidRDefault="009A1672">
      <w:pPr>
        <w:ind w:left="426"/>
        <w:rPr>
          <w:rFonts w:ascii="Garamond" w:eastAsia="Garamond" w:hAnsi="Garamond" w:cs="Garamond"/>
          <w:b/>
          <w:sz w:val="24"/>
          <w:szCs w:val="24"/>
        </w:rPr>
      </w:pPr>
    </w:p>
    <w:p w:rsidR="009A1672" w:rsidRDefault="009A1672">
      <w:pPr>
        <w:ind w:left="2880"/>
        <w:rPr>
          <w:rFonts w:ascii="Garamond" w:eastAsia="Garamond" w:hAnsi="Garamond" w:cs="Garamond"/>
          <w:b/>
          <w:sz w:val="24"/>
          <w:szCs w:val="24"/>
        </w:rPr>
      </w:pPr>
    </w:p>
    <w:p w:rsidR="009A1672" w:rsidRDefault="009A1672">
      <w:pPr>
        <w:ind w:left="2880"/>
        <w:rPr>
          <w:rFonts w:ascii="Garamond" w:eastAsia="Garamond" w:hAnsi="Garamond" w:cs="Garamond"/>
          <w:b/>
        </w:rPr>
      </w:pPr>
    </w:p>
    <w:p w:rsidR="009A1672" w:rsidRDefault="009A1672">
      <w:pPr>
        <w:spacing w:before="240" w:after="240"/>
        <w:jc w:val="center"/>
        <w:rPr>
          <w:rFonts w:ascii="Garamond" w:eastAsia="Garamond" w:hAnsi="Garamond" w:cs="Garamond"/>
          <w:b/>
          <w:u w:val="single"/>
        </w:rPr>
      </w:pPr>
    </w:p>
    <w:p w:rsidR="009A1672" w:rsidRDefault="009A1672">
      <w:pPr>
        <w:spacing w:before="240" w:after="240"/>
        <w:jc w:val="center"/>
        <w:rPr>
          <w:rFonts w:ascii="Garamond" w:eastAsia="Garamond" w:hAnsi="Garamond" w:cs="Garamond"/>
          <w:b/>
          <w:u w:val="single"/>
        </w:rPr>
      </w:pPr>
    </w:p>
    <w:p w:rsidR="009A1672" w:rsidRDefault="009A1672">
      <w:pPr>
        <w:spacing w:before="240" w:after="240"/>
        <w:jc w:val="center"/>
        <w:rPr>
          <w:rFonts w:ascii="Garamond" w:eastAsia="Garamond" w:hAnsi="Garamond" w:cs="Garamond"/>
          <w:b/>
          <w:u w:val="single"/>
        </w:rPr>
      </w:pPr>
    </w:p>
    <w:p w:rsidR="009A1672" w:rsidRDefault="001325D8">
      <w:pPr>
        <w:spacing w:before="240" w:after="240"/>
        <w:jc w:val="center"/>
        <w:rPr>
          <w:rFonts w:ascii="gobCL" w:eastAsia="gobCL" w:hAnsi="gobCL" w:cs="gobCL"/>
          <w:b/>
          <w:color w:val="000000"/>
          <w:sz w:val="26"/>
          <w:szCs w:val="26"/>
        </w:rPr>
      </w:pPr>
      <w:r>
        <w:rPr>
          <w:rFonts w:ascii="gobCL" w:eastAsia="gobCL" w:hAnsi="gobCL" w:cs="gobCL"/>
          <w:b/>
          <w:color w:val="000000"/>
          <w:sz w:val="26"/>
          <w:szCs w:val="26"/>
        </w:rPr>
        <w:t>BASES DE CONVOCATORIA: PROGRAMA ESPECIAL PARA LA INDUSTRIA DE LA BELLEZA</w:t>
      </w:r>
    </w:p>
    <w:p w:rsidR="009A1672" w:rsidRDefault="001325D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REACTIVATE INDUSTRIA DE LA BELLEZA</w:t>
      </w:r>
    </w:p>
    <w:p w:rsidR="009A1672" w:rsidRDefault="009D3455">
      <w:pPr>
        <w:tabs>
          <w:tab w:val="left" w:pos="1650"/>
          <w:tab w:val="center" w:pos="4419"/>
        </w:tabs>
        <w:spacing w:before="240" w:after="240"/>
        <w:jc w:val="center"/>
        <w:rPr>
          <w:rFonts w:ascii="gobCL" w:eastAsia="gobCL" w:hAnsi="gobCL" w:cs="gobCL"/>
          <w:b/>
          <w:color w:val="000000"/>
          <w:sz w:val="36"/>
          <w:szCs w:val="36"/>
        </w:rPr>
      </w:pPr>
      <w:bookmarkStart w:id="1" w:name="_heading=h.2et92p0" w:colFirst="0" w:colLast="0"/>
      <w:bookmarkEnd w:id="1"/>
      <w:r>
        <w:rPr>
          <w:rFonts w:ascii="gobCL" w:eastAsia="gobCL" w:hAnsi="gobCL" w:cs="gobCL"/>
          <w:b/>
          <w:color w:val="000000"/>
          <w:sz w:val="36"/>
          <w:szCs w:val="36"/>
        </w:rPr>
        <w:t>Región d</w:t>
      </w:r>
      <w:bookmarkStart w:id="2" w:name="_GoBack"/>
      <w:bookmarkEnd w:id="2"/>
      <w:r w:rsidR="001325D8">
        <w:rPr>
          <w:rFonts w:ascii="gobCL" w:eastAsia="gobCL" w:hAnsi="gobCL" w:cs="gobCL"/>
          <w:b/>
          <w:color w:val="000000"/>
          <w:sz w:val="36"/>
          <w:szCs w:val="36"/>
        </w:rPr>
        <w:t>e La Araucanía</w:t>
      </w:r>
    </w:p>
    <w:p w:rsidR="009A1672" w:rsidRDefault="009A1672">
      <w:pPr>
        <w:tabs>
          <w:tab w:val="left" w:pos="1650"/>
          <w:tab w:val="center" w:pos="4419"/>
        </w:tabs>
        <w:spacing w:before="240" w:after="240"/>
        <w:rPr>
          <w:rFonts w:ascii="gobCL" w:eastAsia="gobCL" w:hAnsi="gobCL" w:cs="gobCL"/>
          <w:b/>
          <w:color w:val="000000"/>
          <w:sz w:val="36"/>
          <w:szCs w:val="36"/>
        </w:rPr>
      </w:pPr>
    </w:p>
    <w:p w:rsidR="009A1672" w:rsidRDefault="009A1672">
      <w:pPr>
        <w:tabs>
          <w:tab w:val="left" w:pos="1650"/>
          <w:tab w:val="center" w:pos="4419"/>
        </w:tabs>
        <w:spacing w:before="240" w:after="240"/>
        <w:jc w:val="center"/>
        <w:rPr>
          <w:rFonts w:ascii="gobCL" w:eastAsia="gobCL" w:hAnsi="gobCL" w:cs="gobCL"/>
          <w:b/>
          <w:color w:val="000000"/>
          <w:sz w:val="36"/>
          <w:szCs w:val="36"/>
        </w:rPr>
      </w:pPr>
    </w:p>
    <w:p w:rsidR="009A1672" w:rsidRDefault="009A1672">
      <w:pPr>
        <w:tabs>
          <w:tab w:val="left" w:pos="1650"/>
          <w:tab w:val="center" w:pos="4419"/>
        </w:tabs>
        <w:spacing w:before="240" w:after="240"/>
        <w:jc w:val="center"/>
        <w:rPr>
          <w:rFonts w:ascii="gobCL" w:eastAsia="gobCL" w:hAnsi="gobCL" w:cs="gobCL"/>
          <w:b/>
          <w:color w:val="000000"/>
          <w:sz w:val="36"/>
          <w:szCs w:val="36"/>
        </w:rPr>
      </w:pPr>
    </w:p>
    <w:p w:rsidR="009A1672" w:rsidRDefault="009A1672">
      <w:pPr>
        <w:tabs>
          <w:tab w:val="left" w:pos="1650"/>
          <w:tab w:val="center" w:pos="4419"/>
        </w:tabs>
        <w:spacing w:before="240" w:after="240"/>
        <w:jc w:val="center"/>
        <w:rPr>
          <w:rFonts w:ascii="gobCL" w:eastAsia="gobCL" w:hAnsi="gobCL" w:cs="gobCL"/>
          <w:b/>
          <w:color w:val="000000"/>
          <w:sz w:val="36"/>
          <w:szCs w:val="36"/>
        </w:rPr>
      </w:pPr>
    </w:p>
    <w:p w:rsidR="009A1672" w:rsidRDefault="009A1672">
      <w:pPr>
        <w:tabs>
          <w:tab w:val="left" w:pos="1650"/>
          <w:tab w:val="center" w:pos="4419"/>
        </w:tabs>
        <w:spacing w:before="240" w:after="240"/>
        <w:jc w:val="center"/>
        <w:rPr>
          <w:rFonts w:ascii="gobCL" w:eastAsia="gobCL" w:hAnsi="gobCL" w:cs="gobCL"/>
          <w:b/>
          <w:color w:val="000000"/>
          <w:sz w:val="36"/>
          <w:szCs w:val="36"/>
        </w:rPr>
      </w:pPr>
    </w:p>
    <w:p w:rsidR="009A1672" w:rsidRDefault="001325D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w:t>
      </w:r>
      <w:r>
        <w:rPr>
          <w:rFonts w:ascii="gobCL" w:eastAsia="gobCL" w:hAnsi="gobCL" w:cs="gobCL"/>
          <w:b/>
          <w:sz w:val="28"/>
          <w:szCs w:val="28"/>
        </w:rPr>
        <w:t>l</w:t>
      </w:r>
      <w:r>
        <w:rPr>
          <w:rFonts w:ascii="gobCL" w:eastAsia="gobCL" w:hAnsi="gobCL" w:cs="gobCL"/>
          <w:b/>
          <w:color w:val="000000"/>
          <w:sz w:val="28"/>
          <w:szCs w:val="28"/>
        </w:rPr>
        <w:t>io de 2021</w:t>
      </w:r>
    </w:p>
    <w:p w:rsidR="009A1672" w:rsidRDefault="001325D8">
      <w:pPr>
        <w:rPr>
          <w:rFonts w:ascii="gobCL" w:eastAsia="gobCL" w:hAnsi="gobCL" w:cs="gobCL"/>
          <w:b/>
        </w:rPr>
      </w:pPr>
      <w:r>
        <w:br w:type="page"/>
      </w:r>
      <w:r>
        <w:rPr>
          <w:rFonts w:ascii="gobCL" w:eastAsia="gobCL" w:hAnsi="gobCL" w:cs="gobCL"/>
          <w:b/>
        </w:rPr>
        <w:lastRenderedPageBreak/>
        <w:t>1. Antecedentes del programa</w:t>
      </w:r>
    </w:p>
    <w:p w:rsidR="009A1672" w:rsidRDefault="001325D8">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w:t>
      </w:r>
      <w:r>
        <w:rPr>
          <w:rFonts w:ascii="gobCL" w:eastAsia="gobCL" w:hAnsi="gobCL" w:cs="gobCL"/>
          <w:color w:val="000000"/>
        </w:rPr>
        <w:t>a Salud.</w:t>
      </w:r>
    </w:p>
    <w:p w:rsidR="009A1672" w:rsidRDefault="001325D8">
      <w:pPr>
        <w:spacing w:before="240" w:after="240"/>
        <w:jc w:val="both"/>
        <w:rPr>
          <w:rFonts w:ascii="gobCL" w:eastAsia="gobCL" w:hAnsi="gobCL" w:cs="gobCL"/>
          <w:color w:val="000000"/>
        </w:rPr>
      </w:pPr>
      <w:r>
        <w:rPr>
          <w:rFonts w:ascii="gobCL" w:eastAsia="gobCL" w:hAnsi="gobCL" w:cs="gobCL"/>
          <w:color w:val="000000"/>
        </w:rPr>
        <w:t>El avance del Covid-19 ha generado graves dificultades y un complejo escenario para el Sector de la Belleza, compuesto por peluquerías y salones de belleza, y también por una serie de actividades y oficios tales como Peluqueros, Manicurista, Podol</w:t>
      </w:r>
      <w:r>
        <w:rPr>
          <w:rFonts w:ascii="gobCL" w:eastAsia="gobCL" w:hAnsi="gobCL" w:cs="gobCL"/>
          <w:color w:val="000000"/>
        </w:rPr>
        <w:t>ogos, Lashistas, Masajistas, Peluqueros caninos, Barberos, Cosmetologas, Esteticista, Depiladoras, Colorista, Maquilladora y Pedicurista. Esto, debido a que no han podido prestar el servicio de manera normal, viendo disminuir sus recursos de manera parcial</w:t>
      </w:r>
      <w:r>
        <w:rPr>
          <w:rFonts w:ascii="gobCL" w:eastAsia="gobCL" w:hAnsi="gobCL" w:cs="gobCL"/>
          <w:color w:val="000000"/>
        </w:rPr>
        <w:t xml:space="preserve"> o total durante los últimos meses.</w:t>
      </w:r>
    </w:p>
    <w:p w:rsidR="009A1672" w:rsidRDefault="001325D8">
      <w:pPr>
        <w:spacing w:before="240" w:after="240"/>
        <w:jc w:val="both"/>
        <w:rPr>
          <w:rFonts w:ascii="gobCL" w:eastAsia="gobCL" w:hAnsi="gobCL" w:cs="gobCL"/>
          <w:color w:val="000000"/>
        </w:rPr>
      </w:pPr>
      <w:r>
        <w:rPr>
          <w:rFonts w:ascii="gobCL" w:eastAsia="gobCL" w:hAnsi="gobCL" w:cs="gobCL"/>
          <w:color w:val="000000"/>
        </w:rPr>
        <w:t>Diferentes agrupaciones gremiales del Sector de la Belleza, estiman una disminución de los ingresos de las empresas y profesionales que ejercen esta actividad, en a lo menos un 72%</w:t>
      </w:r>
    </w:p>
    <w:p w:rsidR="009A1672" w:rsidRDefault="001325D8">
      <w:pPr>
        <w:spacing w:before="240" w:after="240"/>
        <w:jc w:val="both"/>
        <w:rPr>
          <w:rFonts w:ascii="gobCL" w:eastAsia="gobCL" w:hAnsi="gobCL" w:cs="gobCL"/>
          <w:color w:val="000000"/>
        </w:rPr>
      </w:pPr>
      <w:r>
        <w:rPr>
          <w:rFonts w:ascii="gobCL" w:eastAsia="gobCL" w:hAnsi="gobCL" w:cs="gobCL"/>
          <w:color w:val="000000"/>
        </w:rPr>
        <w:t>Por tanto, con el objetivo de apoyar la</w:t>
      </w:r>
      <w:r>
        <w:rPr>
          <w:rFonts w:ascii="gobCL" w:eastAsia="gobCL" w:hAnsi="gobCL" w:cs="gobCL"/>
          <w:color w:val="000000"/>
        </w:rPr>
        <w:t xml:space="preserve"> reactivación económica de estos negocios, Sercotec pone a su disposición el Programa Especial para la Industria de la Belleza, el cual busca entregar las herramientas necesarias a aquellos con ventas anuales entre 0 y 25.000 UF, que se hayan visto afectad</w:t>
      </w:r>
      <w:r>
        <w:rPr>
          <w:rFonts w:ascii="gobCL" w:eastAsia="gobCL" w:hAnsi="gobCL" w:cs="gobCL"/>
          <w:color w:val="000000"/>
        </w:rPr>
        <w:t>as producto de la emergencia sanitaria.</w:t>
      </w:r>
    </w:p>
    <w:p w:rsidR="009A1672" w:rsidRDefault="001325D8">
      <w:pPr>
        <w:spacing w:before="240" w:after="240"/>
        <w:jc w:val="both"/>
        <w:rPr>
          <w:rFonts w:ascii="gobCL" w:eastAsia="gobCL" w:hAnsi="gobCL" w:cs="gobCL"/>
          <w:b/>
        </w:rPr>
      </w:pPr>
      <w:r>
        <w:rPr>
          <w:rFonts w:ascii="gobCL" w:eastAsia="gobCL" w:hAnsi="gobCL" w:cs="gobCL"/>
          <w:b/>
        </w:rPr>
        <w:t>2. ¿Qué es?</w:t>
      </w:r>
    </w:p>
    <w:p w:rsidR="009A1672" w:rsidRDefault="001325D8">
      <w:pPr>
        <w:spacing w:before="240" w:after="240"/>
        <w:jc w:val="both"/>
        <w:rPr>
          <w:rFonts w:ascii="gobCL" w:eastAsia="gobCL" w:hAnsi="gobCL" w:cs="gobCL"/>
        </w:rPr>
      </w:pPr>
      <w:r>
        <w:rPr>
          <w:rFonts w:ascii="gobCL" w:eastAsia="gobCL" w:hAnsi="gobCL" w:cs="gobCL"/>
        </w:rPr>
        <w:t>Es un programa que busca apoyar a las empresas pertenecientes a la actividad económica del rubro de la belleza, que tengan inicio de actividades en primera categoría hasta el 31 de marzo de 2021 ante el Servicio de Impuestos Internos; con ventas netas entr</w:t>
      </w:r>
      <w:r>
        <w:rPr>
          <w:rFonts w:ascii="gobCL" w:eastAsia="gobCL" w:hAnsi="gobCL" w:cs="gobCL"/>
        </w:rPr>
        <w:t>e 0 y 25.000 UF al año, que se hayan visto afectadas producto de la emergencia sanitaria. Además, podrán acceder personas naturales con inicio de actividades en segunda categoría, también hasta el 31 de marzo de 2021, con ventas entre 0 y 2.400 UF de venta</w:t>
      </w:r>
      <w:r>
        <w:rPr>
          <w:rFonts w:ascii="gobCL" w:eastAsia="gobCL" w:hAnsi="gobCL" w:cs="gobCL"/>
        </w:rPr>
        <w:t>s al año como Honorarios</w:t>
      </w:r>
      <w:r>
        <w:rPr>
          <w:rFonts w:ascii="gobCL" w:eastAsia="gobCL" w:hAnsi="gobCL" w:cs="gobCL"/>
          <w:vertAlign w:val="superscript"/>
        </w:rPr>
        <w:footnoteReference w:id="1"/>
      </w:r>
      <w:r>
        <w:rPr>
          <w:rFonts w:ascii="gobCL" w:eastAsia="gobCL" w:hAnsi="gobCL" w:cs="gobCL"/>
        </w:rPr>
        <w:t>.</w:t>
      </w:r>
    </w:p>
    <w:p w:rsidR="009A1672" w:rsidRDefault="001325D8">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w:t>
      </w:r>
      <w:r>
        <w:rPr>
          <w:rFonts w:ascii="gobCL" w:eastAsia="gobCL" w:hAnsi="gobCL" w:cs="gobCL"/>
        </w:rPr>
        <w:t>s, mercadería), gastos en promoción, publicidad y difusión, y servicios de terceros esenciales para el funcionamiento del negocio. Además, podrán financiar la adquisición de materiales necesarios para implementar protocolos sanitarios ante el Covid-19 y la</w:t>
      </w:r>
      <w:r>
        <w:rPr>
          <w:rFonts w:ascii="gobCL" w:eastAsia="gobCL" w:hAnsi="gobCL" w:cs="gobCL"/>
        </w:rPr>
        <w:t xml:space="preserve"> implementación de acciones o actividades para la activación y reapertura económica. Solo en el caso de contribuyentes de primera categoría, se podrá financiar también arriendos, sueldos, pago de servicios y/o consumos generales, y habilitación de infraest</w:t>
      </w:r>
      <w:r>
        <w:rPr>
          <w:rFonts w:ascii="gobCL" w:eastAsia="gobCL" w:hAnsi="gobCL" w:cs="gobCL"/>
        </w:rPr>
        <w:t>ructura.</w:t>
      </w:r>
    </w:p>
    <w:p w:rsidR="009A1672" w:rsidRDefault="001325D8">
      <w:pPr>
        <w:spacing w:before="240" w:after="240"/>
        <w:jc w:val="both"/>
        <w:rPr>
          <w:rFonts w:ascii="gobCL" w:eastAsia="gobCL" w:hAnsi="gobCL" w:cs="gobCL"/>
          <w:b/>
        </w:rPr>
      </w:pPr>
      <w:r>
        <w:rPr>
          <w:rFonts w:ascii="gobCL" w:eastAsia="gobCL" w:hAnsi="gobCL" w:cs="gobCL"/>
          <w:b/>
        </w:rPr>
        <w:t>* El cupo estimado para beneficiario/as de esta convocatoria es de 30 a nivel regional.</w:t>
      </w:r>
    </w:p>
    <w:p w:rsidR="009A1672" w:rsidRDefault="001325D8">
      <w:pPr>
        <w:spacing w:before="240" w:after="240"/>
        <w:jc w:val="both"/>
        <w:rPr>
          <w:rFonts w:ascii="gobCL" w:eastAsia="gobCL" w:hAnsi="gobCL" w:cs="gobCL"/>
          <w:b/>
        </w:rPr>
      </w:pPr>
      <w:r>
        <w:rPr>
          <w:rFonts w:ascii="gobCL" w:eastAsia="gobCL" w:hAnsi="gobCL" w:cs="gobCL"/>
          <w:b/>
        </w:rPr>
        <w:t>2.1. Requisitos generales del programa.</w:t>
      </w:r>
    </w:p>
    <w:p w:rsidR="009A1672" w:rsidRDefault="001325D8">
      <w:pPr>
        <w:spacing w:before="240" w:after="240"/>
        <w:jc w:val="both"/>
        <w:rPr>
          <w:rFonts w:ascii="gobCL" w:eastAsia="gobCL" w:hAnsi="gobCL" w:cs="gobCL"/>
        </w:rPr>
      </w:pPr>
      <w:bookmarkStart w:id="3" w:name="_heading=h.30j0zll" w:colFirst="0" w:colLast="0"/>
      <w:bookmarkEnd w:id="3"/>
      <w:r>
        <w:rPr>
          <w:rFonts w:ascii="gobCL" w:eastAsia="gobCL" w:hAnsi="gobCL" w:cs="gobCL"/>
        </w:rPr>
        <w:lastRenderedPageBreak/>
        <w:t xml:space="preserve">Este programa está dirigido a las empresas y personas que cumplan con los siguientes </w:t>
      </w:r>
      <w:r>
        <w:rPr>
          <w:rFonts w:ascii="gobCL" w:eastAsia="gobCL" w:hAnsi="gobCL" w:cs="gobCL"/>
          <w:b/>
        </w:rPr>
        <w:t xml:space="preserve">requisitos, </w:t>
      </w:r>
      <w:r>
        <w:rPr>
          <w:rFonts w:ascii="gobCL" w:eastAsia="gobCL" w:hAnsi="gobCL" w:cs="gobCL"/>
        </w:rPr>
        <w:t>cuyos medios de verifi</w:t>
      </w:r>
      <w:r>
        <w:rPr>
          <w:rFonts w:ascii="gobCL" w:eastAsia="gobCL" w:hAnsi="gobCL" w:cs="gobCL"/>
        </w:rPr>
        <w:t>cación se detallan en el Anexo N°1:</w:t>
      </w:r>
    </w:p>
    <w:p w:rsidR="009A1672" w:rsidRDefault="001325D8">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9A1672" w:rsidRDefault="001325D8">
      <w:pPr>
        <w:numPr>
          <w:ilvl w:val="2"/>
          <w:numId w:val="8"/>
        </w:numPr>
        <w:pBdr>
          <w:top w:val="nil"/>
          <w:left w:val="nil"/>
          <w:bottom w:val="nil"/>
          <w:right w:val="nil"/>
          <w:between w:val="nil"/>
        </w:pBdr>
        <w:spacing w:before="240" w:after="240" w:line="276" w:lineRule="auto"/>
        <w:jc w:val="both"/>
        <w:rPr>
          <w:rFonts w:ascii="gobCL" w:eastAsia="gobCL" w:hAnsi="gobCL" w:cs="gobCL"/>
          <w:b/>
          <w:color w:val="000000"/>
          <w:u w:val="single"/>
        </w:rPr>
      </w:pPr>
      <w:r>
        <w:rPr>
          <w:rFonts w:ascii="gobCL" w:eastAsia="gobCL" w:hAnsi="gobCL" w:cs="gobCL"/>
          <w:b/>
          <w:color w:val="000000"/>
          <w:u w:val="single"/>
        </w:rPr>
        <w:t>a.- Admisibilidad automática:</w:t>
      </w: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a.1. Pueden acceder personas naturales y/o jurídicas, que tributan en primera o segunda categoría, pertenecientes a alguno de los siguientes códigos de act</w:t>
      </w:r>
      <w:r>
        <w:rPr>
          <w:rFonts w:ascii="gobCL" w:eastAsia="gobCL" w:hAnsi="gobCL" w:cs="gobCL"/>
          <w:color w:val="000000"/>
        </w:rPr>
        <w:t>ividad económica</w:t>
      </w:r>
      <w:r>
        <w:rPr>
          <w:rFonts w:ascii="gobCL" w:eastAsia="gobCL" w:hAnsi="gobCL" w:cs="gobCL"/>
          <w:color w:val="000000"/>
          <w:vertAlign w:val="superscript"/>
        </w:rPr>
        <w:footnoteReference w:id="2"/>
      </w:r>
      <w:r>
        <w:rPr>
          <w:rFonts w:ascii="gobCL" w:eastAsia="gobCL" w:hAnsi="gobCL" w:cs="gobCL"/>
          <w:color w:val="000000"/>
        </w:rPr>
        <w:t xml:space="preserve">: </w:t>
      </w:r>
    </w:p>
    <w:p w:rsidR="009A1672" w:rsidRDefault="009A1672">
      <w:pPr>
        <w:pBdr>
          <w:top w:val="nil"/>
          <w:left w:val="nil"/>
          <w:bottom w:val="nil"/>
          <w:right w:val="nil"/>
          <w:between w:val="nil"/>
        </w:pBdr>
        <w:spacing w:after="0" w:line="276" w:lineRule="auto"/>
        <w:ind w:left="709"/>
        <w:jc w:val="both"/>
        <w:rPr>
          <w:rFonts w:ascii="gobCL" w:eastAsia="gobCL" w:hAnsi="gobCL" w:cs="gobCL"/>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960200: Peluquería y otros tratamientos de belleza.</w:t>
      </w: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960902: Actividad de salones de masajes, baños públicos.</w:t>
      </w: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960901: Servicio adiestramiento, guardería, peluquería, paseo de mascota, (excepto act. veterinaria).</w:t>
      </w: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869091: Otros servicios de atención de la salud humana prestados por empresas.</w:t>
      </w: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960909: Otras actividades de servicios personales N.C.P.</w:t>
      </w: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869092: Servicios prestados de forma independiente por otros profesionales de la salud.</w:t>
      </w:r>
    </w:p>
    <w:p w:rsidR="009A1672" w:rsidRDefault="009A1672">
      <w:pPr>
        <w:pBdr>
          <w:top w:val="nil"/>
          <w:left w:val="nil"/>
          <w:bottom w:val="nil"/>
          <w:right w:val="nil"/>
          <w:between w:val="nil"/>
        </w:pBdr>
        <w:spacing w:after="0" w:line="276" w:lineRule="auto"/>
        <w:ind w:left="709"/>
        <w:jc w:val="both"/>
        <w:rPr>
          <w:rFonts w:ascii="gobCL" w:eastAsia="gobCL" w:hAnsi="gobCL" w:cs="gobCL"/>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a.2.</w:t>
      </w:r>
      <w:r>
        <w:t xml:space="preserve"> </w:t>
      </w:r>
      <w:r>
        <w:rPr>
          <w:rFonts w:ascii="gobCL" w:eastAsia="gobCL" w:hAnsi="gobCL" w:cs="gobCL"/>
          <w:color w:val="000000"/>
        </w:rPr>
        <w:t>En el caso de contribuyent</w:t>
      </w:r>
      <w:r>
        <w:rPr>
          <w:rFonts w:ascii="gobCL" w:eastAsia="gobCL" w:hAnsi="gobCL" w:cs="gobCL"/>
          <w:color w:val="000000"/>
        </w:rPr>
        <w:t>es de primera categoría, su domicilio comercial deberá estar registrada en la región de la presente convocatoria en el portal www.sercotec.cl. En el caso de personas naturales que tributan en segunda categoría, su domicilio particular deberá estar registra</w:t>
      </w:r>
      <w:r>
        <w:rPr>
          <w:rFonts w:ascii="gobCL" w:eastAsia="gobCL" w:hAnsi="gobCL" w:cs="gobCL"/>
          <w:color w:val="000000"/>
        </w:rPr>
        <w:t>do en la región correspondiente a la presente convocatoria en el portal www.sercotec.cl.</w:t>
      </w:r>
    </w:p>
    <w:p w:rsidR="009A1672" w:rsidRDefault="009A1672">
      <w:pPr>
        <w:pBdr>
          <w:top w:val="nil"/>
          <w:left w:val="nil"/>
          <w:bottom w:val="nil"/>
          <w:right w:val="nil"/>
          <w:between w:val="nil"/>
        </w:pBdr>
        <w:spacing w:after="0" w:line="276" w:lineRule="auto"/>
        <w:ind w:left="709"/>
        <w:jc w:val="both"/>
        <w:rPr>
          <w:rFonts w:ascii="gobCL" w:eastAsia="gobCL" w:hAnsi="gobCL" w:cs="gobCL"/>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u w:val="single"/>
        </w:rPr>
      </w:pPr>
      <w:r>
        <w:rPr>
          <w:rFonts w:ascii="gobCL" w:eastAsia="gobCL" w:hAnsi="gobCL" w:cs="gobCL"/>
          <w:color w:val="000000"/>
          <w:u w:val="single"/>
        </w:rPr>
        <w:t>Personas naturales o jurídicas cono inicio de actividades en primera categoría, deberán cumplir también con los siguientes requisitos</w:t>
      </w:r>
      <w:r>
        <w:rPr>
          <w:rFonts w:ascii="gobCL" w:eastAsia="gobCL" w:hAnsi="gobCL" w:cs="gobCL"/>
          <w:color w:val="000000"/>
          <w:u w:val="single"/>
          <w:vertAlign w:val="superscript"/>
        </w:rPr>
        <w:footnoteReference w:id="3"/>
      </w:r>
      <w:r>
        <w:rPr>
          <w:rFonts w:ascii="gobCL" w:eastAsia="gobCL" w:hAnsi="gobCL" w:cs="gobCL"/>
          <w:color w:val="000000"/>
          <w:u w:val="single"/>
        </w:rPr>
        <w:t>:</w:t>
      </w:r>
    </w:p>
    <w:p w:rsidR="009A1672" w:rsidRDefault="009A1672">
      <w:pPr>
        <w:pBdr>
          <w:top w:val="nil"/>
          <w:left w:val="nil"/>
          <w:bottom w:val="nil"/>
          <w:right w:val="nil"/>
          <w:between w:val="nil"/>
        </w:pBdr>
        <w:spacing w:after="0"/>
        <w:ind w:left="720"/>
        <w:rPr>
          <w:rFonts w:ascii="gobCL" w:eastAsia="gobCL" w:hAnsi="gobCL" w:cs="gobCL"/>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No haber incumplido las </w:t>
      </w:r>
      <w:r>
        <w:rPr>
          <w:rFonts w:ascii="gobCL" w:eastAsia="gobCL" w:hAnsi="gobCL" w:cs="gobCL"/>
          <w:color w:val="000000"/>
        </w:rPr>
        <w:t>obligaciones contractuales de un proyecto de Sercotec con el Agente Operador Sercotec (término anticipado de contrato por hecho o acto imputable al beneficiario/a), a la fecha de inicio de la convocatoria.</w:t>
      </w:r>
    </w:p>
    <w:p w:rsidR="009A1672" w:rsidRDefault="009A1672">
      <w:pPr>
        <w:pBdr>
          <w:top w:val="nil"/>
          <w:left w:val="nil"/>
          <w:bottom w:val="nil"/>
          <w:right w:val="nil"/>
          <w:between w:val="nil"/>
        </w:pBdr>
        <w:spacing w:after="0"/>
        <w:ind w:left="720"/>
        <w:rPr>
          <w:rFonts w:ascii="gobCL" w:eastAsia="gobCL" w:hAnsi="gobCL" w:cs="gobCL"/>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a.4. No haber sido condenado/a por prácticas anti</w:t>
      </w:r>
      <w:r>
        <w:rPr>
          <w:rFonts w:ascii="gobCL" w:eastAsia="gobCL" w:hAnsi="gobCL" w:cs="gobCL"/>
          <w:color w:val="000000"/>
        </w:rPr>
        <w:t>sindicales y/o por infracción a los derechos fundamentales del trabajador, dentro de los dos años anteriores a la fecha de la firma del contrato.</w:t>
      </w:r>
    </w:p>
    <w:p w:rsidR="009A1672" w:rsidRDefault="009A1672">
      <w:pPr>
        <w:pBdr>
          <w:top w:val="nil"/>
          <w:left w:val="nil"/>
          <w:bottom w:val="nil"/>
          <w:right w:val="nil"/>
          <w:between w:val="nil"/>
        </w:pBdr>
        <w:spacing w:after="0"/>
        <w:ind w:left="720"/>
        <w:rPr>
          <w:rFonts w:ascii="gobCL" w:eastAsia="gobCL" w:hAnsi="gobCL" w:cs="gobCL"/>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a.5. No tener rendiciones pendientes con Sercotec y/o con el Agente Operador, a la fecha la formalización.</w:t>
      </w:r>
    </w:p>
    <w:p w:rsidR="009A1672" w:rsidRDefault="009A1672">
      <w:pPr>
        <w:pBdr>
          <w:top w:val="nil"/>
          <w:left w:val="nil"/>
          <w:bottom w:val="nil"/>
          <w:right w:val="nil"/>
          <w:between w:val="nil"/>
        </w:pBdr>
        <w:spacing w:after="0" w:line="276" w:lineRule="auto"/>
        <w:ind w:left="709"/>
        <w:jc w:val="both"/>
        <w:rPr>
          <w:rFonts w:ascii="gobCL" w:eastAsia="gobCL" w:hAnsi="gobCL" w:cs="gobCL"/>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lastRenderedPageBreak/>
        <w:t>a</w:t>
      </w:r>
      <w:r>
        <w:rPr>
          <w:rFonts w:ascii="gobCL" w:eastAsia="gobCL" w:hAnsi="gobCL" w:cs="gobCL"/>
          <w:color w:val="000000"/>
        </w:rPr>
        <w:t>.6. No haber sido beneficiario de convocatorias Reactívate 2021 (cualquier fuente financiamiento). Sercotec validará nuevamente esta condición al momento de formalizar.</w:t>
      </w:r>
    </w:p>
    <w:p w:rsidR="009A1672" w:rsidRDefault="009A1672">
      <w:pPr>
        <w:pBdr>
          <w:top w:val="nil"/>
          <w:left w:val="nil"/>
          <w:bottom w:val="nil"/>
          <w:right w:val="nil"/>
          <w:between w:val="nil"/>
        </w:pBdr>
        <w:spacing w:after="0" w:line="276" w:lineRule="auto"/>
        <w:ind w:left="709"/>
        <w:jc w:val="both"/>
        <w:rPr>
          <w:rFonts w:ascii="gobCL" w:eastAsia="gobCL" w:hAnsi="gobCL" w:cs="gobCL"/>
          <w:color w:val="000000"/>
        </w:rPr>
      </w:pPr>
    </w:p>
    <w:p w:rsidR="009A1672" w:rsidRDefault="001325D8">
      <w:pPr>
        <w:numPr>
          <w:ilvl w:val="2"/>
          <w:numId w:val="9"/>
        </w:numPr>
        <w:pBdr>
          <w:top w:val="nil"/>
          <w:left w:val="nil"/>
          <w:bottom w:val="nil"/>
          <w:right w:val="nil"/>
          <w:between w:val="nil"/>
        </w:pBdr>
        <w:spacing w:after="0" w:line="276" w:lineRule="auto"/>
        <w:jc w:val="both"/>
        <w:rPr>
          <w:rFonts w:ascii="gobCL" w:eastAsia="gobCL" w:hAnsi="gobCL" w:cs="gobCL"/>
          <w:b/>
          <w:color w:val="000000"/>
          <w:u w:val="single"/>
        </w:rPr>
      </w:pPr>
      <w:r>
        <w:rPr>
          <w:rFonts w:ascii="gobCL" w:eastAsia="gobCL" w:hAnsi="gobCL" w:cs="gobCL"/>
          <w:b/>
          <w:color w:val="000000"/>
          <w:u w:val="single"/>
        </w:rPr>
        <w:t>b.-  Admisibilidad Manual:</w:t>
      </w:r>
    </w:p>
    <w:p w:rsidR="009A1672" w:rsidRDefault="009A1672">
      <w:pPr>
        <w:pBdr>
          <w:top w:val="nil"/>
          <w:left w:val="nil"/>
          <w:bottom w:val="nil"/>
          <w:right w:val="nil"/>
          <w:between w:val="nil"/>
        </w:pBdr>
        <w:spacing w:after="0"/>
        <w:ind w:left="709" w:hanging="283"/>
        <w:rPr>
          <w:rFonts w:ascii="gobCL" w:eastAsia="gobCL" w:hAnsi="gobCL" w:cs="gobCL"/>
          <w:b/>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b.1. Nivel de ventas.</w:t>
      </w:r>
    </w:p>
    <w:p w:rsidR="009A1672" w:rsidRDefault="009A1672">
      <w:pPr>
        <w:pBdr>
          <w:top w:val="nil"/>
          <w:left w:val="nil"/>
          <w:bottom w:val="nil"/>
          <w:right w:val="nil"/>
          <w:between w:val="nil"/>
        </w:pBdr>
        <w:spacing w:after="0" w:line="276" w:lineRule="auto"/>
        <w:ind w:left="709"/>
        <w:jc w:val="both"/>
        <w:rPr>
          <w:rFonts w:ascii="gobCL" w:eastAsia="gobCL" w:hAnsi="gobCL" w:cs="gobCL"/>
          <w:color w:val="000000"/>
        </w:rPr>
      </w:pPr>
    </w:p>
    <w:p w:rsidR="009A1672" w:rsidRDefault="001325D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Las personas naturales y/o jurídicas con iniciación de actividades en primera categoría ante SII, deberán tener ventas netas anuales entre 0 y 25.000 UF.</w:t>
      </w:r>
    </w:p>
    <w:p w:rsidR="009A1672" w:rsidRDefault="001325D8">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Para ello se tomará el periodo de ve</w:t>
      </w:r>
      <w:r>
        <w:rPr>
          <w:rFonts w:ascii="gobCL" w:eastAsia="gobCL" w:hAnsi="gobCL" w:cs="gobCL"/>
          <w:color w:val="000000"/>
        </w:rPr>
        <w:t xml:space="preserve">ntas: </w:t>
      </w:r>
      <w:r>
        <w:rPr>
          <w:rFonts w:ascii="gobCL" w:eastAsia="gobCL" w:hAnsi="gobCL" w:cs="gobCL"/>
        </w:rPr>
        <w:t>Mayo 2020 – Abril 2021.</w:t>
      </w:r>
    </w:p>
    <w:p w:rsidR="009A1672" w:rsidRDefault="001325D8">
      <w:pPr>
        <w:spacing w:before="240" w:after="240" w:line="240" w:lineRule="auto"/>
        <w:ind w:left="720"/>
        <w:jc w:val="both"/>
        <w:rPr>
          <w:rFonts w:ascii="gobCL" w:eastAsia="gobCL" w:hAnsi="gobCL" w:cs="gobCL"/>
        </w:rPr>
      </w:pPr>
      <w:r>
        <w:rPr>
          <w:rFonts w:ascii="gobCL" w:eastAsia="gobCL" w:hAnsi="gobCL" w:cs="gobCL"/>
        </w:rPr>
        <w:t>Para el caso de personas naturales con inicio de actividades en segunda categoría ante SII, deberán tener ventas anuales entre 0 y 2.400 UF al año. Para comprobar este requisito, se distinguen dos casos:</w:t>
      </w:r>
    </w:p>
    <w:p w:rsidR="009A1672" w:rsidRDefault="001325D8">
      <w:pPr>
        <w:numPr>
          <w:ilvl w:val="0"/>
          <w:numId w:val="13"/>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Para aquellos con inic</w:t>
      </w:r>
      <w:r>
        <w:rPr>
          <w:rFonts w:ascii="gobCL" w:eastAsia="gobCL" w:hAnsi="gobCL" w:cs="gobCL"/>
          <w:color w:val="000000"/>
        </w:rPr>
        <w:t>io de actividades hasta el 31 de diciembre de 2020, se tomará el período enero-diciembre de 2020 (a través de Informe anual de emisión de boletas de honorarios 2020 que deberá adjuntar al momento de postular).</w:t>
      </w:r>
    </w:p>
    <w:p w:rsidR="009A1672" w:rsidRDefault="001325D8">
      <w:pPr>
        <w:numPr>
          <w:ilvl w:val="0"/>
          <w:numId w:val="13"/>
        </w:numPr>
        <w:pBdr>
          <w:top w:val="nil"/>
          <w:left w:val="nil"/>
          <w:bottom w:val="nil"/>
          <w:right w:val="nil"/>
          <w:between w:val="nil"/>
        </w:pBdr>
        <w:rPr>
          <w:rFonts w:ascii="gobCL" w:eastAsia="gobCL" w:hAnsi="gobCL" w:cs="gobCL"/>
          <w:color w:val="000000"/>
        </w:rPr>
      </w:pPr>
      <w:r>
        <w:rPr>
          <w:rFonts w:ascii="gobCL" w:eastAsia="gobCL" w:hAnsi="gobCL" w:cs="gobCL"/>
          <w:color w:val="000000"/>
        </w:rPr>
        <w:t>Para aquellos con inicio de actividades poster</w:t>
      </w:r>
      <w:r>
        <w:rPr>
          <w:rFonts w:ascii="gobCL" w:eastAsia="gobCL" w:hAnsi="gobCL" w:cs="gobCL"/>
          <w:color w:val="000000"/>
        </w:rPr>
        <w:t>iores al 31 de diciembre de 2020, se considera el período enero-marzo 2021 (a través de Informe anual de emisión de boletas de honorarios 2021 que deberá adjuntar al momento de postular).</w:t>
      </w:r>
    </w:p>
    <w:p w:rsidR="009A1672" w:rsidRDefault="001325D8">
      <w:pPr>
        <w:pBdr>
          <w:top w:val="nil"/>
          <w:left w:val="nil"/>
          <w:bottom w:val="nil"/>
          <w:right w:val="nil"/>
          <w:between w:val="nil"/>
        </w:pBdr>
        <w:spacing w:after="0" w:line="240" w:lineRule="auto"/>
        <w:ind w:firstLine="720"/>
        <w:jc w:val="both"/>
        <w:rPr>
          <w:rFonts w:ascii="gobCL" w:eastAsia="gobCL" w:hAnsi="gobCL" w:cs="gobCL"/>
          <w:color w:val="000000"/>
        </w:rPr>
      </w:pPr>
      <w:r>
        <w:rPr>
          <w:rFonts w:ascii="gobCL" w:eastAsia="gobCL" w:hAnsi="gobCL" w:cs="gobCL"/>
          <w:color w:val="000000"/>
        </w:rPr>
        <w:t>b.2. No ser cooperativas, así como sociedades de hecho y/o comunidades hereditarias.</w:t>
      </w:r>
    </w:p>
    <w:p w:rsidR="009A1672" w:rsidRDefault="009A1672">
      <w:pPr>
        <w:pBdr>
          <w:top w:val="nil"/>
          <w:left w:val="nil"/>
          <w:bottom w:val="nil"/>
          <w:right w:val="nil"/>
          <w:between w:val="nil"/>
        </w:pBdr>
        <w:spacing w:after="0" w:line="240" w:lineRule="auto"/>
        <w:ind w:firstLine="720"/>
        <w:jc w:val="both"/>
        <w:rPr>
          <w:rFonts w:ascii="gobCL" w:eastAsia="gobCL" w:hAnsi="gobCL" w:cs="gobCL"/>
          <w:color w:val="000000"/>
        </w:rPr>
      </w:pPr>
    </w:p>
    <w:p w:rsidR="009A1672" w:rsidRDefault="001325D8">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b.3. Con el objeto de comprobar el ejercicio de la actividad según el foco de la presente convocatoria (Sector de la Belleza) los contribuyentes de segunda categoría debe</w:t>
      </w:r>
      <w:r>
        <w:rPr>
          <w:rFonts w:ascii="gobCL" w:eastAsia="gobCL" w:hAnsi="gobCL" w:cs="gobCL"/>
          <w:color w:val="000000"/>
        </w:rPr>
        <w:t xml:space="preserve">rán adjuntar al momento de la postulación al menos una boleta de honorario relacionada con el rubro y/o cualquier tipo de información complementaria, tales como diplomas, fotografías, documentos municipales o de asociaciones gremiales o que lo demuestren, </w:t>
      </w:r>
      <w:r>
        <w:rPr>
          <w:rFonts w:ascii="gobCL" w:eastAsia="gobCL" w:hAnsi="gobCL" w:cs="gobCL"/>
          <w:color w:val="000000"/>
        </w:rPr>
        <w:t>publicaciones en prensa, redes sociales, entre otras, que lo demuestre.</w:t>
      </w:r>
    </w:p>
    <w:p w:rsidR="009A1672" w:rsidRDefault="009A1672">
      <w:pPr>
        <w:pBdr>
          <w:top w:val="nil"/>
          <w:left w:val="nil"/>
          <w:bottom w:val="nil"/>
          <w:right w:val="nil"/>
          <w:between w:val="nil"/>
        </w:pBdr>
        <w:spacing w:after="0" w:line="240" w:lineRule="auto"/>
        <w:ind w:left="720"/>
        <w:jc w:val="both"/>
        <w:rPr>
          <w:rFonts w:ascii="gobCL" w:eastAsia="gobCL" w:hAnsi="gobCL" w:cs="gobCL"/>
          <w:b/>
        </w:rPr>
      </w:pPr>
    </w:p>
    <w:tbl>
      <w:tblPr>
        <w:tblStyle w:val="aff7"/>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9A1672">
        <w:tc>
          <w:tcPr>
            <w:tcW w:w="8931" w:type="dxa"/>
            <w:shd w:val="clear" w:color="auto" w:fill="D9D9D9"/>
          </w:tcPr>
          <w:p w:rsidR="009A1672" w:rsidRDefault="001325D8">
            <w:pPr>
              <w:jc w:val="both"/>
              <w:rPr>
                <w:rFonts w:ascii="gobCL" w:eastAsia="gobCL" w:hAnsi="gobCL" w:cs="gobCL"/>
                <w:sz w:val="22"/>
                <w:szCs w:val="22"/>
              </w:rPr>
            </w:pPr>
            <w:r>
              <w:rPr>
                <w:rFonts w:ascii="gobCL" w:eastAsia="gobCL" w:hAnsi="gobCL" w:cs="gobCL"/>
                <w:sz w:val="22"/>
                <w:szCs w:val="22"/>
              </w:rPr>
              <w:t>IMPORTANTE</w:t>
            </w:r>
          </w:p>
          <w:p w:rsidR="009A1672" w:rsidRDefault="001325D8">
            <w:pPr>
              <w:jc w:val="both"/>
              <w:rPr>
                <w:rFonts w:ascii="gobCL" w:eastAsia="gobCL" w:hAnsi="gobCL" w:cs="gobCL"/>
                <w:sz w:val="22"/>
                <w:szCs w:val="22"/>
              </w:rPr>
            </w:pPr>
            <w:r>
              <w:rPr>
                <w:rFonts w:ascii="gobCL" w:eastAsia="gobCL" w:hAnsi="gobCL" w:cs="gobCL"/>
                <w:sz w:val="22"/>
                <w:szCs w:val="22"/>
              </w:rPr>
              <w:t xml:space="preserve">Cabe mencionar que aquellas empresas que hayan iniciado actividades en primera o segunda categoría después del 31 de marzo de 2021, o que tengan ventas mayores a 25.000 UF </w:t>
            </w:r>
            <w:r>
              <w:rPr>
                <w:rFonts w:ascii="gobCL" w:eastAsia="gobCL" w:hAnsi="gobCL" w:cs="gobCL"/>
                <w:sz w:val="22"/>
                <w:szCs w:val="22"/>
              </w:rPr>
              <w:t>para el caso de quienes tributan en primera categoría, y superiores a 2.400 para quienes tributan en segunda categoría, en el período evaluado, serán declaradas inadmisibles. También serán declaradas inadmisibles, aquellas empresas postulantes que tributan</w:t>
            </w:r>
            <w:r>
              <w:rPr>
                <w:rFonts w:ascii="gobCL" w:eastAsia="gobCL" w:hAnsi="gobCL" w:cs="gobCL"/>
                <w:sz w:val="22"/>
                <w:szCs w:val="22"/>
              </w:rPr>
              <w:t xml:space="preserve"> en primera categoría que no adjunten la carpeta tributaria para solicitar créditos y, en los casos que corresponda, las empresas que no adjunten los Formularios 29 que no se encuentren registrados en dicha carpeta, así como quienes tributan en segunda cat</w:t>
            </w:r>
            <w:r>
              <w:rPr>
                <w:rFonts w:ascii="gobCL" w:eastAsia="gobCL" w:hAnsi="gobCL" w:cs="gobCL"/>
                <w:sz w:val="22"/>
                <w:szCs w:val="22"/>
              </w:rPr>
              <w:t>egoría y no adjunten el Informe anual de emisión de boletas de honorarios, correspondiente.</w:t>
            </w:r>
          </w:p>
        </w:tc>
      </w:tr>
    </w:tbl>
    <w:p w:rsidR="009A1672" w:rsidRDefault="001325D8">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9A1672" w:rsidRDefault="001325D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Tener domicilio comercial o personal, según corresponda, en la región de la presente convocatoria.</w:t>
      </w:r>
    </w:p>
    <w:p w:rsidR="009A1672" w:rsidRDefault="001325D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 xml:space="preserve">Suscripción de Declaración Jurada de Probidad según el 2.2. de las bases (Anexo N°3).  </w:t>
      </w:r>
    </w:p>
    <w:p w:rsidR="009A1672" w:rsidRDefault="001325D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p w:rsidR="009A1672" w:rsidRDefault="001325D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simple de pertenencia a los giros económicos focalizados (Anexo N° 5)</w:t>
      </w:r>
    </w:p>
    <w:p w:rsidR="009A1672" w:rsidRDefault="001325D8">
      <w:pPr>
        <w:spacing w:before="240" w:after="240"/>
        <w:jc w:val="both"/>
        <w:rPr>
          <w:rFonts w:ascii="gobCL" w:eastAsia="gobCL" w:hAnsi="gobCL" w:cs="gobCL"/>
          <w:u w:val="single"/>
        </w:rPr>
      </w:pPr>
      <w:r>
        <w:rPr>
          <w:rFonts w:ascii="gobCL" w:eastAsia="gobCL" w:hAnsi="gobCL" w:cs="gobCL"/>
          <w:u w:val="single"/>
        </w:rPr>
        <w:t xml:space="preserve">Las personas naturales o jurídicas con inicio de actividades en primera categoría deberán además cumplir con los siguientes requisitos al momento de </w:t>
      </w:r>
      <w:r>
        <w:rPr>
          <w:rFonts w:ascii="gobCL" w:eastAsia="gobCL" w:hAnsi="gobCL" w:cs="gobCL"/>
          <w:u w:val="single"/>
        </w:rPr>
        <w:t>formalizar:</w:t>
      </w:r>
    </w:p>
    <w:p w:rsidR="009A1672" w:rsidRDefault="001325D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9A1672" w:rsidRDefault="001325D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No haber sido beneficiario de convocatorias Reactívate 2021 (cualquier fuente de financiamiento).</w:t>
      </w:r>
    </w:p>
    <w:p w:rsidR="009A1672" w:rsidRDefault="001325D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w:t>
      </w:r>
      <w:r>
        <w:rPr>
          <w:rFonts w:ascii="gobCL" w:eastAsia="gobCL" w:hAnsi="gobCL" w:cs="gobCL"/>
        </w:rPr>
        <w:t>al Rut de la empresa postulante, al momento de la formalización. Se entiende cumplido este requisito si la empresa presenta un comprobante de pago, por el mismo monto de la deuda que aparece en el F30, con una fecha posterior a la emisión de ese certificad</w:t>
      </w:r>
      <w:r>
        <w:rPr>
          <w:rFonts w:ascii="gobCL" w:eastAsia="gobCL" w:hAnsi="gobCL" w:cs="gobCL"/>
        </w:rPr>
        <w:t xml:space="preserve">o. </w:t>
      </w:r>
    </w:p>
    <w:p w:rsidR="009A1672" w:rsidRDefault="001325D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9A1672" w:rsidRDefault="001325D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En caso que el Plan de Compras considere financiamiento para h</w:t>
      </w:r>
      <w:r>
        <w:rPr>
          <w:rFonts w:ascii="gobCL" w:eastAsia="gobCL" w:hAnsi="gobCL" w:cs="gobCL"/>
        </w:rPr>
        <w:t>abilitación de infraestructura, la empresa deberá acreditar, respecto del inmueble en el cual se habilita, una de las siguientes condiciones: ser propietaria, usufructuaria, comodataria, arrendataria; o en general, acreditar cualquier otro antecedente en q</w:t>
      </w:r>
      <w:r>
        <w:rPr>
          <w:rFonts w:ascii="gobCL" w:eastAsia="gobCL" w:hAnsi="gobCL" w:cs="gobCL"/>
        </w:rPr>
        <w:t>ue el titular del derecho de dominio o quien tenga facultad de realizarlo (por ejemplo, organismo público encargado de entregar la respectiva concesión) ceda el uso del inmueble a la empresa.</w:t>
      </w:r>
    </w:p>
    <w:p w:rsidR="009A1672" w:rsidRDefault="001325D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w:t>
      </w:r>
      <w:r>
        <w:rPr>
          <w:rFonts w:ascii="gobCL" w:eastAsia="gobCL" w:hAnsi="gobCL" w:cs="gobCL"/>
        </w:rPr>
        <w:t>dición de gastos (Anexo N°2).</w:t>
      </w:r>
    </w:p>
    <w:p w:rsidR="009A1672" w:rsidRDefault="001325D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9A1672" w:rsidRDefault="001325D8">
      <w:pPr>
        <w:spacing w:before="240" w:after="240"/>
        <w:jc w:val="both"/>
        <w:rPr>
          <w:rFonts w:ascii="gobCL" w:eastAsia="gobCL" w:hAnsi="gobCL" w:cs="gobCL"/>
          <w:b/>
        </w:rPr>
      </w:pPr>
      <w:r>
        <w:rPr>
          <w:rFonts w:ascii="gobCL" w:eastAsia="gobCL" w:hAnsi="gobCL" w:cs="gobCL"/>
          <w:b/>
        </w:rPr>
        <w:t>2.2. ¿Quiénes NO pueden participar del programa?</w:t>
      </w:r>
    </w:p>
    <w:p w:rsidR="009A1672" w:rsidRDefault="001325D8">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4"/>
      </w:r>
      <w:r>
        <w:rPr>
          <w:rFonts w:ascii="gobCL" w:eastAsia="gobCL" w:hAnsi="gobCL" w:cs="gobCL"/>
        </w:rPr>
        <w:t>:</w:t>
      </w:r>
    </w:p>
    <w:p w:rsidR="009A1672" w:rsidRDefault="001325D8">
      <w:pPr>
        <w:numPr>
          <w:ilvl w:val="0"/>
          <w:numId w:val="2"/>
        </w:numPr>
        <w:spacing w:before="240" w:after="240" w:line="240" w:lineRule="auto"/>
        <w:jc w:val="both"/>
        <w:rPr>
          <w:rFonts w:ascii="gobCL" w:eastAsia="gobCL" w:hAnsi="gobCL" w:cs="gobCL"/>
        </w:rPr>
      </w:pPr>
      <w:r>
        <w:rPr>
          <w:rFonts w:ascii="gobCL" w:eastAsia="gobCL" w:hAnsi="gobCL" w:cs="gobCL"/>
        </w:rPr>
        <w:lastRenderedPageBreak/>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w:t>
      </w:r>
      <w:r>
        <w:rPr>
          <w:rFonts w:ascii="gobCL" w:eastAsia="gobCL" w:hAnsi="gobCL" w:cs="gobCL"/>
        </w:rPr>
        <w:t>elebre con anterioridad a la postulación o durante el proceso de evaluación y selección.</w:t>
      </w:r>
    </w:p>
    <w:p w:rsidR="009A1672" w:rsidRDefault="001325D8">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9A1672" w:rsidRDefault="001325D8">
      <w:pPr>
        <w:numPr>
          <w:ilvl w:val="0"/>
          <w:numId w:val="2"/>
        </w:numPr>
        <w:spacing w:before="240" w:after="240" w:line="240" w:lineRule="auto"/>
        <w:jc w:val="both"/>
        <w:rPr>
          <w:rFonts w:ascii="gobCL" w:eastAsia="gobCL" w:hAnsi="gobCL" w:cs="gobCL"/>
        </w:rPr>
      </w:pPr>
      <w:r>
        <w:rPr>
          <w:rFonts w:ascii="gobCL" w:eastAsia="gobCL" w:hAnsi="gobCL" w:cs="gobCL"/>
        </w:rPr>
        <w:t>El/la cónyuge o conviviente civil</w:t>
      </w:r>
      <w:r>
        <w:rPr>
          <w:rFonts w:ascii="gobCL" w:eastAsia="gobCL" w:hAnsi="gobCL" w:cs="gobCL"/>
        </w:rPr>
        <w:t xml:space="preserve">,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w:t>
      </w:r>
      <w:r>
        <w:rPr>
          <w:rFonts w:ascii="gobCL" w:eastAsia="gobCL" w:hAnsi="gobCL" w:cs="gobCL"/>
        </w:rPr>
        <w:t>pondientes a la presente convocatoria.</w:t>
      </w:r>
    </w:p>
    <w:p w:rsidR="009A1672" w:rsidRDefault="001325D8">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 xml:space="preserve">a cargo de la convocatoria o de un Centro de Negocios Sercotec </w:t>
      </w:r>
      <w:r>
        <w:rPr>
          <w:rFonts w:ascii="gobCL" w:eastAsia="gobCL" w:hAnsi="gobCL" w:cs="gobCL"/>
        </w:rPr>
        <w:t>o de quienes participen en la asignación de recursos correspondientes a la convocatoria, o personas unidas a ellos por vínculos de parentesco hasta tercer grado de consanguinidad y segundo de afinidad inclusive.</w:t>
      </w:r>
    </w:p>
    <w:p w:rsidR="009A1672" w:rsidRDefault="001325D8">
      <w:pPr>
        <w:numPr>
          <w:ilvl w:val="0"/>
          <w:numId w:val="2"/>
        </w:numPr>
        <w:spacing w:before="240" w:after="240" w:line="240" w:lineRule="auto"/>
        <w:jc w:val="both"/>
        <w:rPr>
          <w:rFonts w:ascii="gobCL" w:eastAsia="gobCL" w:hAnsi="gobCL" w:cs="gobCL"/>
        </w:rPr>
      </w:pPr>
      <w:r>
        <w:rPr>
          <w:rFonts w:ascii="gobCL" w:eastAsia="gobCL" w:hAnsi="gobCL" w:cs="gobCL"/>
        </w:rPr>
        <w:t>Las personas naturales o jurídicas que tenga</w:t>
      </w:r>
      <w:r>
        <w:rPr>
          <w:rFonts w:ascii="gobCL" w:eastAsia="gobCL" w:hAnsi="gobCL" w:cs="gobCL"/>
        </w:rPr>
        <w:t xml:space="preserve">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9A1672" w:rsidRDefault="001325D8">
      <w:pPr>
        <w:numPr>
          <w:ilvl w:val="0"/>
          <w:numId w:val="2"/>
        </w:numPr>
        <w:spacing w:before="240" w:after="240" w:line="240" w:lineRule="auto"/>
        <w:jc w:val="both"/>
        <w:rPr>
          <w:rFonts w:ascii="gobCL" w:eastAsia="gobCL" w:hAnsi="gobCL" w:cs="gobCL"/>
        </w:rPr>
      </w:pPr>
      <w:r>
        <w:rPr>
          <w:rFonts w:ascii="gobCL" w:eastAsia="gobCL" w:hAnsi="gobCL" w:cs="gobCL"/>
        </w:rPr>
        <w:t>Las personas jurídicas en que cualquier</w:t>
      </w:r>
      <w:r>
        <w:rPr>
          <w:rFonts w:ascii="gobCL" w:eastAsia="gobCL" w:hAnsi="gobCL" w:cs="gobCL"/>
        </w:rPr>
        <w:t xml:space="preserve">a de las personas señaladas tenga participación, incluidas las sociedades por acciones o anónimas cerradas en que éstas sean accionistas, o las sociedades anónimas abiertas en que éstas sean dueñas de acciones que representen el 50% o más del capital. </w:t>
      </w:r>
    </w:p>
    <w:p w:rsidR="009A1672" w:rsidRDefault="001325D8">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w:t>
      </w:r>
      <w:r>
        <w:rPr>
          <w:rFonts w:ascii="gobCL" w:eastAsia="gobCL" w:hAnsi="gobCL" w:cs="gobCL"/>
        </w:rPr>
        <w:t xml:space="preserve"> cualquier etapa del programa, aún con posterioridad a la selección.</w:t>
      </w:r>
    </w:p>
    <w:p w:rsidR="009A1672" w:rsidRDefault="001325D8">
      <w:pPr>
        <w:spacing w:before="240" w:after="240"/>
        <w:jc w:val="both"/>
        <w:rPr>
          <w:rFonts w:ascii="gobCL" w:eastAsia="gobCL" w:hAnsi="gobCL" w:cs="gobCL"/>
          <w:b/>
        </w:rPr>
      </w:pPr>
      <w:r>
        <w:rPr>
          <w:rFonts w:ascii="gobCL" w:eastAsia="gobCL" w:hAnsi="gobCL" w:cs="gobCL"/>
          <w:b/>
        </w:rPr>
        <w:t>2.3. ¿En qué consiste?</w:t>
      </w:r>
    </w:p>
    <w:p w:rsidR="009A1672" w:rsidRDefault="001325D8">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$1.500.000 (un millón quinientos mil pesos) y</w:t>
      </w:r>
      <w:r>
        <w:rPr>
          <w:rFonts w:ascii="gobCL" w:eastAsia="gobCL" w:hAnsi="gobCL" w:cs="gobCL"/>
          <w:color w:val="000000"/>
        </w:rPr>
        <w:t xml:space="preserve"> </w:t>
      </w:r>
      <w:r>
        <w:rPr>
          <w:rFonts w:ascii="gobCL" w:eastAsia="gobCL" w:hAnsi="gobCL" w:cs="gobCL"/>
          <w:b/>
        </w:rPr>
        <w:t>$3.000.000</w:t>
      </w:r>
      <w:r>
        <w:rPr>
          <w:rFonts w:ascii="gobCL" w:eastAsia="gobCL" w:hAnsi="gobCL" w:cs="gobCL"/>
          <w:b/>
          <w:color w:val="000000"/>
        </w:rPr>
        <w:t xml:space="preserve"> (tres millones de pesos),</w:t>
      </w:r>
      <w:r>
        <w:rPr>
          <w:rFonts w:ascii="gobCL" w:eastAsia="gobCL" w:hAnsi="gobCL" w:cs="gobCL"/>
          <w:color w:val="000000"/>
        </w:rPr>
        <w:t xml:space="preserve"> que busca reactivar la actividad económi</w:t>
      </w:r>
      <w:r>
        <w:rPr>
          <w:rFonts w:ascii="gobCL" w:eastAsia="gobCL" w:hAnsi="gobCL" w:cs="gobCL"/>
          <w:color w:val="000000"/>
        </w:rPr>
        <w:t>ca de los beneficiarios, a través de la implementación de un Plan de Compras.</w:t>
      </w:r>
    </w:p>
    <w:p w:rsidR="009A1672" w:rsidRDefault="001325D8">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9A1672" w:rsidRDefault="001325D8">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9A1672" w:rsidRDefault="001325D8">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9A1672" w:rsidRDefault="009A1672">
      <w:pPr>
        <w:pBdr>
          <w:top w:val="nil"/>
          <w:left w:val="nil"/>
          <w:bottom w:val="nil"/>
          <w:right w:val="nil"/>
          <w:between w:val="nil"/>
        </w:pBdr>
        <w:spacing w:after="0" w:line="240" w:lineRule="auto"/>
        <w:ind w:left="1440"/>
        <w:jc w:val="both"/>
        <w:rPr>
          <w:rFonts w:ascii="gobCL" w:eastAsia="gobCL" w:hAnsi="gobCL" w:cs="gobCL"/>
          <w:color w:val="000000"/>
        </w:rPr>
      </w:pPr>
    </w:p>
    <w:p w:rsidR="009A1672" w:rsidRDefault="001325D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9A1672" w:rsidRDefault="001325D8">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p>
    <w:p w:rsidR="009A1672" w:rsidRDefault="009A1672">
      <w:pPr>
        <w:pBdr>
          <w:top w:val="nil"/>
          <w:left w:val="nil"/>
          <w:bottom w:val="nil"/>
          <w:right w:val="nil"/>
          <w:between w:val="nil"/>
        </w:pBdr>
        <w:spacing w:after="0"/>
        <w:jc w:val="both"/>
        <w:rPr>
          <w:rFonts w:ascii="gobCL" w:eastAsia="gobCL" w:hAnsi="gobCL" w:cs="gobCL"/>
        </w:rPr>
      </w:pPr>
    </w:p>
    <w:p w:rsidR="009A1672" w:rsidRDefault="009A1672">
      <w:pPr>
        <w:pBdr>
          <w:top w:val="nil"/>
          <w:left w:val="nil"/>
          <w:bottom w:val="nil"/>
          <w:right w:val="nil"/>
          <w:between w:val="nil"/>
        </w:pBdr>
        <w:spacing w:after="0"/>
        <w:jc w:val="both"/>
        <w:rPr>
          <w:rFonts w:ascii="gobCL" w:eastAsia="gobCL" w:hAnsi="gobCL" w:cs="gobCL"/>
        </w:rPr>
      </w:pPr>
    </w:p>
    <w:p w:rsidR="009A1672" w:rsidRDefault="009A1672">
      <w:pPr>
        <w:pBdr>
          <w:top w:val="nil"/>
          <w:left w:val="nil"/>
          <w:bottom w:val="nil"/>
          <w:right w:val="nil"/>
          <w:between w:val="nil"/>
        </w:pBdr>
        <w:spacing w:after="0"/>
        <w:jc w:val="both"/>
        <w:rPr>
          <w:rFonts w:ascii="gobCL" w:eastAsia="gobCL" w:hAnsi="gobCL" w:cs="gobCL"/>
        </w:rPr>
      </w:pPr>
    </w:p>
    <w:p w:rsidR="009A1672" w:rsidRDefault="009A1672">
      <w:pPr>
        <w:pBdr>
          <w:top w:val="nil"/>
          <w:left w:val="nil"/>
          <w:bottom w:val="nil"/>
          <w:right w:val="nil"/>
          <w:between w:val="nil"/>
        </w:pBdr>
        <w:spacing w:after="0"/>
        <w:jc w:val="both"/>
        <w:rPr>
          <w:rFonts w:ascii="gobCL" w:eastAsia="gobCL" w:hAnsi="gobCL" w:cs="gobCL"/>
        </w:rPr>
      </w:pPr>
    </w:p>
    <w:p w:rsidR="009A1672" w:rsidRDefault="009A1672">
      <w:pPr>
        <w:pBdr>
          <w:top w:val="nil"/>
          <w:left w:val="nil"/>
          <w:bottom w:val="nil"/>
          <w:right w:val="nil"/>
          <w:between w:val="nil"/>
        </w:pBdr>
        <w:spacing w:after="0"/>
        <w:jc w:val="both"/>
        <w:rPr>
          <w:rFonts w:ascii="gobCL" w:eastAsia="gobCL" w:hAnsi="gobCL" w:cs="gobCL"/>
        </w:rPr>
      </w:pPr>
    </w:p>
    <w:p w:rsidR="009A1672" w:rsidRDefault="009A1672">
      <w:pPr>
        <w:pBdr>
          <w:top w:val="nil"/>
          <w:left w:val="nil"/>
          <w:bottom w:val="nil"/>
          <w:right w:val="nil"/>
          <w:between w:val="nil"/>
        </w:pBdr>
        <w:spacing w:after="0"/>
        <w:jc w:val="both"/>
        <w:rPr>
          <w:rFonts w:ascii="gobCL" w:eastAsia="gobCL" w:hAnsi="gobCL" w:cs="gobCL"/>
        </w:rPr>
      </w:pPr>
    </w:p>
    <w:tbl>
      <w:tblPr>
        <w:tblStyle w:val="a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9A1672">
        <w:tc>
          <w:tcPr>
            <w:tcW w:w="8828" w:type="dxa"/>
            <w:shd w:val="clear" w:color="auto" w:fill="D9D9D9"/>
          </w:tcPr>
          <w:p w:rsidR="009A1672" w:rsidRDefault="001325D8">
            <w:pPr>
              <w:jc w:val="both"/>
              <w:rPr>
                <w:rFonts w:ascii="gobCL" w:eastAsia="gobCL" w:hAnsi="gobCL" w:cs="gobCL"/>
                <w:b/>
                <w:u w:val="single"/>
              </w:rPr>
            </w:pPr>
            <w:r>
              <w:rPr>
                <w:rFonts w:ascii="gobCL" w:eastAsia="gobCL" w:hAnsi="gobCL" w:cs="gobCL"/>
                <w:b/>
                <w:u w:val="single"/>
              </w:rPr>
              <w:t>IMPORTANTE:</w:t>
            </w:r>
          </w:p>
          <w:p w:rsidR="009A1672" w:rsidRDefault="001325D8">
            <w:pPr>
              <w:jc w:val="both"/>
              <w:rPr>
                <w:rFonts w:ascii="gobCL" w:eastAsia="gobCL" w:hAnsi="gobCL" w:cs="gobCL"/>
              </w:rPr>
            </w:pPr>
            <w:r>
              <w:rPr>
                <w:rFonts w:ascii="gobCL" w:eastAsia="gobCL" w:hAnsi="gobCL" w:cs="gobCL"/>
              </w:rPr>
              <w:t>En el caso de contribuyentes de primera categoría, éstos podrán ser financiados de manera retroactiva a contar del 18 de marzo de 2020</w:t>
            </w:r>
            <w:r>
              <w:rPr>
                <w:rFonts w:ascii="gobCL" w:eastAsia="gobCL" w:hAnsi="gobCL" w:cs="gobCL"/>
                <w:vertAlign w:val="superscript"/>
              </w:rPr>
              <w:footnoteReference w:id="5"/>
            </w:r>
            <w:r>
              <w:rPr>
                <w:rFonts w:ascii="gobCL" w:eastAsia="gobCL" w:hAnsi="gobCL" w:cs="gobCL"/>
              </w:rPr>
              <w:t xml:space="preserve"> y por el tiempo de vigencia del contrato.</w:t>
            </w:r>
          </w:p>
          <w:p w:rsidR="009A1672" w:rsidRDefault="001325D8">
            <w:pPr>
              <w:spacing w:after="160" w:line="259" w:lineRule="auto"/>
              <w:rPr>
                <w:rFonts w:ascii="gobCL" w:eastAsia="gobCL" w:hAnsi="gobCL" w:cs="gobCL"/>
              </w:rPr>
            </w:pPr>
            <w:r>
              <w:rPr>
                <w:rFonts w:ascii="gobCL" w:eastAsia="gobCL" w:hAnsi="gobCL" w:cs="gobCL"/>
              </w:rPr>
              <w:t>En el caso de contribuyentes de segunda categoría, estos también podrán ser fi</w:t>
            </w:r>
            <w:r>
              <w:rPr>
                <w:rFonts w:ascii="gobCL" w:eastAsia="gobCL" w:hAnsi="gobCL" w:cs="gobCL"/>
              </w:rPr>
              <w:t>nanciados de manera retroactiva a contar del 18 de marzo de 2020, solo cuando el/la beneficiario/a cuente con un documento tributario (factura o boleta electrónica) donde se identifica su nombre y/o rut.</w:t>
            </w:r>
          </w:p>
        </w:tc>
      </w:tr>
    </w:tbl>
    <w:p w:rsidR="009A1672" w:rsidRDefault="009A1672">
      <w:pPr>
        <w:pBdr>
          <w:top w:val="nil"/>
          <w:left w:val="nil"/>
          <w:bottom w:val="nil"/>
          <w:right w:val="nil"/>
          <w:between w:val="nil"/>
        </w:pBdr>
        <w:spacing w:after="0"/>
        <w:jc w:val="both"/>
        <w:rPr>
          <w:rFonts w:ascii="gobCL" w:eastAsia="gobCL" w:hAnsi="gobCL" w:cs="gobCL"/>
        </w:rPr>
      </w:pPr>
    </w:p>
    <w:p w:rsidR="009A1672" w:rsidRDefault="001325D8">
      <w:pPr>
        <w:numPr>
          <w:ilvl w:val="0"/>
          <w:numId w:val="4"/>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reparación,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9A1672" w:rsidRDefault="001325D8">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9A1672" w:rsidRDefault="009A1672">
      <w:pPr>
        <w:pBdr>
          <w:top w:val="nil"/>
          <w:left w:val="nil"/>
          <w:bottom w:val="nil"/>
          <w:right w:val="nil"/>
          <w:between w:val="nil"/>
        </w:pBdr>
        <w:spacing w:after="0"/>
        <w:ind w:left="720"/>
        <w:jc w:val="both"/>
        <w:rPr>
          <w:rFonts w:ascii="gobCL" w:eastAsia="gobCL" w:hAnsi="gobCL" w:cs="gobCL"/>
        </w:rPr>
      </w:pPr>
    </w:p>
    <w:p w:rsidR="009A1672" w:rsidRDefault="001325D8">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o servicio prestado</w:t>
      </w:r>
    </w:p>
    <w:p w:rsidR="009A1672" w:rsidRDefault="001325D8">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shampoo, tinturas de pelo, etc.</w:t>
      </w:r>
    </w:p>
    <w:p w:rsidR="009A1672" w:rsidRDefault="009A1672">
      <w:pPr>
        <w:pBdr>
          <w:top w:val="nil"/>
          <w:left w:val="nil"/>
          <w:bottom w:val="nil"/>
          <w:right w:val="nil"/>
          <w:between w:val="nil"/>
        </w:pBdr>
        <w:spacing w:after="0"/>
        <w:ind w:left="1080" w:hanging="720"/>
        <w:jc w:val="both"/>
        <w:rPr>
          <w:rFonts w:ascii="gobCL" w:eastAsia="gobCL" w:hAnsi="gobCL" w:cs="gobCL"/>
        </w:rPr>
      </w:pPr>
    </w:p>
    <w:p w:rsidR="009A1672" w:rsidRDefault="001325D8">
      <w:pPr>
        <w:numPr>
          <w:ilvl w:val="0"/>
          <w:numId w:val="4"/>
        </w:numPr>
        <w:pBdr>
          <w:top w:val="nil"/>
          <w:left w:val="nil"/>
          <w:bottom w:val="nil"/>
          <w:right w:val="nil"/>
          <w:between w:val="nil"/>
        </w:pBdr>
        <w:spacing w:after="0"/>
        <w:jc w:val="both"/>
        <w:rPr>
          <w:rFonts w:ascii="gobCL" w:eastAsia="gobCL" w:hAnsi="gobCL" w:cs="gobCL"/>
          <w:b/>
          <w:color w:val="000000"/>
        </w:rPr>
      </w:pPr>
      <w:r>
        <w:rPr>
          <w:rFonts w:ascii="gobCL" w:eastAsia="gobCL" w:hAnsi="gobCL" w:cs="gobCL"/>
          <w:b/>
          <w:color w:val="000000"/>
        </w:rPr>
        <w:t>Arriendos:</w:t>
      </w:r>
      <w:r>
        <w:rPr>
          <w:rFonts w:ascii="gobCL" w:eastAsia="gobCL" w:hAnsi="gobCL" w:cs="gobCL"/>
          <w:color w:val="000000"/>
        </w:rPr>
        <w:t xml:space="preserve">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compr</w:t>
      </w:r>
      <w:r>
        <w:rPr>
          <w:rFonts w:ascii="gobCL" w:eastAsia="gobCL" w:hAnsi="gobCL" w:cs="gobCL"/>
          <w:color w:val="000000"/>
        </w:rPr>
        <w:t xml:space="preserve">ende el gasto en arriendos, de bienes raíces (industriales, comerciales o agrícolas) y/o maquinarias necesarias para el desarrollo del negocio. En el caso de bienes raíces, </w:t>
      </w:r>
      <w:r>
        <w:rPr>
          <w:rFonts w:ascii="gobCL" w:eastAsia="gobCL" w:hAnsi="gobCL" w:cs="gobCL"/>
          <w:b/>
          <w:color w:val="000000"/>
        </w:rPr>
        <w:t>para validar el pago por dicho concepto, el contrato de arriendo deberá estar vigen</w:t>
      </w:r>
      <w:r>
        <w:rPr>
          <w:rFonts w:ascii="gobCL" w:eastAsia="gobCL" w:hAnsi="gobCL" w:cs="gobCL"/>
          <w:b/>
          <w:color w:val="000000"/>
        </w:rPr>
        <w:t>te, tener una fecha de suscripción de, al menos, 3 meses contados desde el inicio de la convocatoria y estar suscrito ante Notario Público con esa fecha.</w:t>
      </w:r>
      <w:r>
        <w:rPr>
          <w:rFonts w:ascii="gobCL" w:eastAsia="gobCL" w:hAnsi="gobCL" w:cs="gobCL"/>
          <w:color w:val="000000"/>
        </w:rPr>
        <w:t xml:space="preserve"> Se excluye el arrendamiento de bienes propios, de alguno de los socios/as, representantes legales o de</w:t>
      </w:r>
      <w:r>
        <w:rPr>
          <w:rFonts w:ascii="gobCL" w:eastAsia="gobCL" w:hAnsi="gobCL" w:cs="gobCL"/>
          <w:color w:val="000000"/>
        </w:rPr>
        <w:t xml:space="preserve"> sus respectivos cónyuges, convivientes civiles, familiares por consanguineidad y afinidad hasta segundo grado inclusive (hijos, padre, madre y hermanos, entre otros), cuando corresponda. </w:t>
      </w:r>
      <w:r>
        <w:rPr>
          <w:rFonts w:ascii="gobCL" w:eastAsia="gobCL" w:hAnsi="gobCL" w:cs="gobCL"/>
          <w:b/>
          <w:color w:val="000000"/>
        </w:rPr>
        <w:t xml:space="preserve">Se podrá financiar, asimismo, en el caso de que el beneficiario sea </w:t>
      </w:r>
      <w:r>
        <w:rPr>
          <w:rFonts w:ascii="gobCL" w:eastAsia="gobCL" w:hAnsi="gobCL" w:cs="gobCL"/>
          <w:b/>
          <w:color w:val="000000"/>
        </w:rPr>
        <w:t xml:space="preserve">persona jurídica y el contrato de arriendo sea suscrito por el representante legal o un socio, que tenga más de un 50% de participación en el capital social, como arrendatario. </w:t>
      </w:r>
    </w:p>
    <w:p w:rsidR="009A1672" w:rsidRDefault="009A1672">
      <w:pPr>
        <w:pBdr>
          <w:top w:val="nil"/>
          <w:left w:val="nil"/>
          <w:bottom w:val="nil"/>
          <w:right w:val="nil"/>
          <w:between w:val="nil"/>
        </w:pBdr>
        <w:spacing w:after="0"/>
        <w:jc w:val="both"/>
        <w:rPr>
          <w:rFonts w:ascii="gobCL" w:eastAsia="gobCL" w:hAnsi="gobCL" w:cs="gobCL"/>
          <w:b/>
        </w:rPr>
      </w:pPr>
    </w:p>
    <w:p w:rsidR="009A1672" w:rsidRDefault="001325D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lastRenderedPageBreak/>
        <w:t>Pago de sueldos.</w:t>
      </w:r>
      <w:r>
        <w:rPr>
          <w:rFonts w:ascii="gobCL" w:eastAsia="gobCL" w:hAnsi="gobCL" w:cs="gobCL"/>
          <w:color w:val="000000"/>
        </w:rPr>
        <w:t xml:space="preserve">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considera el pago de sueldos para aquellos casos en donde el empleador no se haya adscrito a la Ley 21.227 sobre Protección del Empleo. </w:t>
      </w:r>
      <w:r>
        <w:rPr>
          <w:rFonts w:ascii="gobCL" w:eastAsia="gobCL" w:hAnsi="gobCL" w:cs="gobCL"/>
          <w:b/>
          <w:color w:val="000000"/>
        </w:rPr>
        <w:t>Para el pago retroactivo de est</w:t>
      </w:r>
      <w:r>
        <w:rPr>
          <w:rFonts w:ascii="gobCL" w:eastAsia="gobCL" w:hAnsi="gobCL" w:cs="gobCL"/>
          <w:b/>
          <w:color w:val="000000"/>
        </w:rPr>
        <w:t>e tipo de gasto, el contrato de trabajo, debe estar vigente y tener una fecha de suscripción de, al menos, 3 meses contados desde el inicio de la convocatoria.</w:t>
      </w:r>
      <w:r>
        <w:rPr>
          <w:rFonts w:ascii="gobCL" w:eastAsia="gobCL" w:hAnsi="gobCL" w:cs="gobCL"/>
          <w:color w:val="000000"/>
        </w:rPr>
        <w:t xml:space="preserve"> </w:t>
      </w:r>
    </w:p>
    <w:p w:rsidR="009A1672" w:rsidRDefault="009A1672">
      <w:pPr>
        <w:pBdr>
          <w:top w:val="nil"/>
          <w:left w:val="nil"/>
          <w:bottom w:val="nil"/>
          <w:right w:val="nil"/>
          <w:between w:val="nil"/>
        </w:pBdr>
        <w:ind w:left="720"/>
        <w:rPr>
          <w:rFonts w:ascii="gobCL" w:eastAsia="gobCL" w:hAnsi="gobCL" w:cs="gobCL"/>
          <w:color w:val="000000"/>
        </w:rPr>
      </w:pPr>
    </w:p>
    <w:p w:rsidR="009A1672" w:rsidRDefault="001325D8">
      <w:pPr>
        <w:pBdr>
          <w:top w:val="nil"/>
          <w:left w:val="nil"/>
          <w:bottom w:val="nil"/>
          <w:right w:val="nil"/>
          <w:between w:val="nil"/>
        </w:pBdr>
        <w:spacing w:after="0"/>
        <w:ind w:left="720"/>
        <w:jc w:val="both"/>
        <w:rPr>
          <w:rFonts w:ascii="gobCL" w:eastAsia="gobCL" w:hAnsi="gobCL" w:cs="gobCL"/>
        </w:rPr>
      </w:pPr>
      <w:r>
        <w:rPr>
          <w:rFonts w:ascii="gobCL" w:eastAsia="gobCL" w:hAnsi="gobCL" w:cs="gobCL"/>
        </w:rPr>
        <w:t>Se excluyen: al beneficiario, socios, representantes legales y sus respectivos cónyuges, convi</w:t>
      </w:r>
      <w:r>
        <w:rPr>
          <w:rFonts w:ascii="gobCL" w:eastAsia="gobCL" w:hAnsi="gobCL" w:cs="gobCL"/>
        </w:rPr>
        <w:t xml:space="preserve">viente civil, familiares por consanguineidad y afinidad hasta segundo grado inclusive (por ejemplo: hijos, padre, madre y hermanos). Ver Anexo N°2: Declaración Jurada de No Consanguineidad.  </w:t>
      </w:r>
    </w:p>
    <w:p w:rsidR="009A1672" w:rsidRDefault="009A1672">
      <w:pPr>
        <w:pBdr>
          <w:top w:val="nil"/>
          <w:left w:val="nil"/>
          <w:bottom w:val="nil"/>
          <w:right w:val="nil"/>
          <w:between w:val="nil"/>
        </w:pBdr>
        <w:spacing w:after="0"/>
        <w:ind w:left="1080"/>
        <w:jc w:val="both"/>
        <w:rPr>
          <w:rFonts w:ascii="gobCL" w:eastAsia="gobCL" w:hAnsi="gobCL" w:cs="gobCL"/>
          <w:color w:val="000000"/>
        </w:rPr>
      </w:pPr>
    </w:p>
    <w:tbl>
      <w:tblPr>
        <w:tblStyle w:val="aff9"/>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9A1672">
        <w:tc>
          <w:tcPr>
            <w:tcW w:w="8789" w:type="dxa"/>
            <w:shd w:val="clear" w:color="auto" w:fill="D9D9D9"/>
          </w:tcPr>
          <w:p w:rsidR="009A1672" w:rsidRDefault="001325D8">
            <w:pPr>
              <w:jc w:val="both"/>
              <w:rPr>
                <w:rFonts w:ascii="gobCL" w:eastAsia="gobCL" w:hAnsi="gobCL" w:cs="gobCL"/>
                <w:b/>
                <w:u w:val="single"/>
              </w:rPr>
            </w:pPr>
            <w:r>
              <w:rPr>
                <w:rFonts w:ascii="gobCL" w:eastAsia="gobCL" w:hAnsi="gobCL" w:cs="gobCL"/>
                <w:b/>
                <w:u w:val="single"/>
              </w:rPr>
              <w:t>IMPORTANTE</w:t>
            </w:r>
          </w:p>
          <w:p w:rsidR="009A1672" w:rsidRDefault="001325D8">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9A1672" w:rsidRDefault="009A1672">
      <w:pPr>
        <w:pBdr>
          <w:top w:val="nil"/>
          <w:left w:val="nil"/>
          <w:bottom w:val="nil"/>
          <w:right w:val="nil"/>
          <w:between w:val="nil"/>
        </w:pBdr>
        <w:spacing w:after="0"/>
        <w:jc w:val="both"/>
        <w:rPr>
          <w:rFonts w:ascii="gobCL" w:eastAsia="gobCL" w:hAnsi="gobCL" w:cs="gobCL"/>
          <w:color w:val="000000"/>
        </w:rPr>
      </w:pPr>
    </w:p>
    <w:p w:rsidR="009A1672" w:rsidRDefault="001325D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Consumos básicos.</w:t>
      </w:r>
      <w:r>
        <w:rPr>
          <w:rFonts w:ascii="gobCL" w:eastAsia="gobCL" w:hAnsi="gobCL" w:cs="gobCL"/>
          <w:color w:val="000000"/>
        </w:rPr>
        <w:t xml:space="preserve"> Servicio y/o consumos generales.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considera el pago de cuentas de agua, energía eléctrica, gas, teléfono, internet, tv cable, seguridad y combustibles de calefacción asociados a la empresa beneficiaria</w:t>
      </w:r>
      <w:r>
        <w:rPr>
          <w:rFonts w:ascii="gobCL" w:eastAsia="gobCL" w:hAnsi="gobCL" w:cs="gobCL"/>
          <w:color w:val="000000"/>
        </w:rPr>
        <w:t xml:space="preserve"> y pertinentes con el giro del negocio. El documento tributario (Boleta o Factura) debe estar a nombre de la empresa. En caso que el inmueble sea arrendado y/o pertenezca a un tercero, el domicilio del documento debe corresponder al domicilio comercial de </w:t>
      </w:r>
      <w:r>
        <w:rPr>
          <w:rFonts w:ascii="gobCL" w:eastAsia="gobCL" w:hAnsi="gobCL" w:cs="gobCL"/>
          <w:color w:val="000000"/>
        </w:rPr>
        <w:t>la empresa.  No se financiarán multas ni intereses.</w:t>
      </w:r>
      <w:r>
        <w:rPr>
          <w:rFonts w:ascii="gobCL" w:eastAsia="gobCL" w:hAnsi="gobCL" w:cs="gobCL"/>
          <w:b/>
          <w:color w:val="000000"/>
        </w:rPr>
        <w:t xml:space="preserve"> </w:t>
      </w:r>
    </w:p>
    <w:p w:rsidR="009A1672" w:rsidRDefault="009A1672">
      <w:pPr>
        <w:pBdr>
          <w:top w:val="nil"/>
          <w:left w:val="nil"/>
          <w:bottom w:val="nil"/>
          <w:right w:val="nil"/>
          <w:between w:val="nil"/>
        </w:pBdr>
        <w:spacing w:after="0"/>
        <w:ind w:left="1080"/>
        <w:jc w:val="both"/>
        <w:rPr>
          <w:rFonts w:ascii="gobCL" w:eastAsia="gobCL" w:hAnsi="gobCL" w:cs="gobCL"/>
        </w:rPr>
      </w:pPr>
    </w:p>
    <w:p w:rsidR="009A1672" w:rsidRDefault="001325D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Habilitación de infraestructura</w:t>
      </w:r>
      <w:r>
        <w:rPr>
          <w:rFonts w:ascii="gobCL" w:eastAsia="gobCL" w:hAnsi="gobCL" w:cs="gobCL"/>
          <w:color w:val="000000"/>
        </w:rPr>
        <w:t xml:space="preserve"> (obras menores a implementar dentro de los 2 meses de plazo de ejecución).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la emp</w:t>
      </w:r>
      <w:r>
        <w:rPr>
          <w:rFonts w:ascii="gobCL" w:eastAsia="gobCL" w:hAnsi="gobCL" w:cs="gobCL"/>
          <w:color w:val="000000"/>
        </w:rPr>
        <w:t>resa deberá acreditar respecto del inmueble en el cual se habilita, una de las siguientes condiciones: ser propietaria, usufructuaria, comodataria, arrendataria</w:t>
      </w:r>
      <w:r>
        <w:rPr>
          <w:color w:val="000000"/>
          <w:vertAlign w:val="superscript"/>
        </w:rPr>
        <w:footnoteReference w:id="6"/>
      </w:r>
      <w:r>
        <w:rPr>
          <w:rFonts w:ascii="gobCL" w:eastAsia="gobCL" w:hAnsi="gobCL" w:cs="gobCL"/>
          <w:color w:val="000000"/>
        </w:rPr>
        <w:t>; o en general, acreditar cualquier otro antecedente en que el titular del derecho de dominio o</w:t>
      </w:r>
      <w:r>
        <w:rPr>
          <w:rFonts w:ascii="gobCL" w:eastAsia="gobCL" w:hAnsi="gobCL" w:cs="gobCL"/>
          <w:color w:val="000000"/>
        </w:rPr>
        <w:t xml:space="preserve"> quien tenga facultad de realizarlo, ceda el uso del inmueble al empresario/a.  </w:t>
      </w:r>
    </w:p>
    <w:p w:rsidR="009A1672" w:rsidRDefault="009A1672">
      <w:pPr>
        <w:pBdr>
          <w:top w:val="nil"/>
          <w:left w:val="nil"/>
          <w:bottom w:val="nil"/>
          <w:right w:val="nil"/>
          <w:between w:val="nil"/>
        </w:pBdr>
        <w:spacing w:after="0"/>
        <w:ind w:left="720"/>
        <w:rPr>
          <w:rFonts w:ascii="gobCL" w:eastAsia="gobCL" w:hAnsi="gobCL" w:cs="gobCL"/>
          <w:b/>
          <w:color w:val="000000"/>
        </w:rPr>
      </w:pPr>
    </w:p>
    <w:p w:rsidR="009A1672" w:rsidRDefault="001325D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 xml:space="preserve">Promoción, publicidad y difusión: </w:t>
      </w:r>
      <w:r>
        <w:rPr>
          <w:rFonts w:ascii="gobCL" w:eastAsia="gobCL" w:hAnsi="gobCL" w:cs="gobCL"/>
          <w:color w:val="000000"/>
        </w:rPr>
        <w:t xml:space="preserve">comprende el gasto en contratación de servicios publicitarios, de promoción y difusión de los proyectos de fomento productivo, incluidos servicios asociados a marketing digital.     </w:t>
      </w:r>
    </w:p>
    <w:p w:rsidR="009A1672" w:rsidRDefault="009A1672">
      <w:pPr>
        <w:pBdr>
          <w:top w:val="nil"/>
          <w:left w:val="nil"/>
          <w:bottom w:val="nil"/>
          <w:right w:val="nil"/>
          <w:between w:val="nil"/>
        </w:pBdr>
        <w:spacing w:after="0"/>
        <w:ind w:left="720"/>
        <w:rPr>
          <w:rFonts w:ascii="gobCL" w:eastAsia="gobCL" w:hAnsi="gobCL" w:cs="gobCL"/>
          <w:b/>
          <w:color w:val="000000"/>
        </w:rPr>
      </w:pPr>
    </w:p>
    <w:p w:rsidR="009A1672" w:rsidRDefault="001325D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Servicios de terceros esenciales para el funcionamiento del negocio</w:t>
      </w:r>
      <w:r>
        <w:rPr>
          <w:rFonts w:ascii="gobCL" w:eastAsia="gobCL" w:hAnsi="gobCL" w:cs="gobCL"/>
          <w:color w:val="000000"/>
        </w:rPr>
        <w:t>: Com</w:t>
      </w:r>
      <w:r>
        <w:rPr>
          <w:rFonts w:ascii="gobCL" w:eastAsia="gobCL" w:hAnsi="gobCL" w:cs="gobCL"/>
          <w:color w:val="000000"/>
        </w:rPr>
        <w:t xml:space="preserve">prende el gasto en aquellos servicios que son contratados por la empresa a un tercero, y resultan indispensables para el desarrollo del negocio, tales como servicios de sanitización, mantención de activos, entre otros (coherentes con el giro del negocio). </w:t>
      </w:r>
      <w:r>
        <w:rPr>
          <w:rFonts w:ascii="gobCL" w:eastAsia="gobCL" w:hAnsi="gobCL" w:cs="gobCL"/>
          <w:b/>
          <w:color w:val="000000"/>
        </w:rPr>
        <w:t>No se puede considerar en este ítem capacitaciones, asistencias técnicas ni asesorías.</w:t>
      </w:r>
      <w:r>
        <w:rPr>
          <w:rFonts w:ascii="gobCL" w:eastAsia="gobCL" w:hAnsi="gobCL" w:cs="gobCL"/>
          <w:color w:val="000000"/>
        </w:rPr>
        <w:t xml:space="preserve"> </w:t>
      </w:r>
    </w:p>
    <w:p w:rsidR="009A1672" w:rsidRDefault="009A1672">
      <w:pPr>
        <w:pBdr>
          <w:top w:val="nil"/>
          <w:left w:val="nil"/>
          <w:bottom w:val="nil"/>
          <w:right w:val="nil"/>
          <w:between w:val="nil"/>
        </w:pBdr>
        <w:spacing w:after="0"/>
        <w:jc w:val="both"/>
        <w:rPr>
          <w:rFonts w:ascii="gobCL" w:eastAsia="gobCL" w:hAnsi="gobCL" w:cs="gobCL"/>
        </w:rPr>
      </w:pPr>
    </w:p>
    <w:p w:rsidR="009A1672" w:rsidRDefault="001325D8">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w:t>
      </w:r>
      <w:r>
        <w:rPr>
          <w:rFonts w:ascii="gobCL" w:eastAsia="gobCL" w:hAnsi="gobCL" w:cs="gobCL"/>
        </w:rPr>
        <w:t xml:space="preserve"> excluye el pago de servicio de flete a alguno de los socios/as, representantes legales o de sus respectivos cónyuges, conviviente civil, familiares por consanguineidad y afinidad hasta segundo grado inclusive (hijos, padre, madre y hermanos entre otros), </w:t>
      </w:r>
      <w:r>
        <w:rPr>
          <w:rFonts w:ascii="gobCL" w:eastAsia="gobCL" w:hAnsi="gobCL" w:cs="gobCL"/>
        </w:rPr>
        <w:t>y auto contrataciones.</w:t>
      </w:r>
    </w:p>
    <w:p w:rsidR="009A1672" w:rsidRDefault="009A1672">
      <w:pPr>
        <w:pBdr>
          <w:top w:val="nil"/>
          <w:left w:val="nil"/>
          <w:bottom w:val="nil"/>
          <w:right w:val="nil"/>
          <w:between w:val="nil"/>
        </w:pBdr>
        <w:spacing w:after="0"/>
        <w:jc w:val="both"/>
        <w:rPr>
          <w:rFonts w:ascii="gobCL" w:eastAsia="gobCL" w:hAnsi="gobCL" w:cs="gobCL"/>
        </w:rPr>
      </w:pPr>
    </w:p>
    <w:p w:rsidR="009A1672" w:rsidRDefault="001325D8">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con el subsidio de Sercotec usted puede implementar las siguientes acciones:</w:t>
      </w:r>
    </w:p>
    <w:p w:rsidR="009A1672" w:rsidRDefault="009A1672">
      <w:pPr>
        <w:pBdr>
          <w:top w:val="nil"/>
          <w:left w:val="nil"/>
          <w:bottom w:val="nil"/>
          <w:right w:val="nil"/>
          <w:between w:val="nil"/>
        </w:pBdr>
        <w:spacing w:after="0"/>
        <w:jc w:val="both"/>
        <w:rPr>
          <w:rFonts w:ascii="gobCL" w:eastAsia="gobCL" w:hAnsi="gobCL" w:cs="gobCL"/>
        </w:rPr>
      </w:pPr>
    </w:p>
    <w:p w:rsidR="009A1672" w:rsidRDefault="001325D8">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w:t>
      </w:r>
      <w:r>
        <w:rPr>
          <w:rFonts w:ascii="gobCL" w:eastAsia="gobCL" w:hAnsi="gobCL" w:cs="gobCL"/>
          <w:color w:val="000000"/>
        </w:rPr>
        <w:t xml:space="preserve">as, pantallas divisorias, mamparas de protección, implementación de sanitizadores, termómetros infrarrojos, implementos e insumos de sanitización, tales como guantes de látex desechables, mascarillas, alcohol gel, desinfectantes de uso ambiental, buzos de </w:t>
      </w:r>
      <w:r>
        <w:rPr>
          <w:rFonts w:ascii="gobCL" w:eastAsia="gobCL" w:hAnsi="gobCL" w:cs="gobCL"/>
          <w:color w:val="000000"/>
        </w:rPr>
        <w:t>trabajo desechables, entre otros. Las acciones antes descritas podrán ser destinadas tanto a trabajadores como clientes.</w:t>
      </w:r>
    </w:p>
    <w:p w:rsidR="009A1672" w:rsidRDefault="001325D8">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w:t>
      </w:r>
      <w:r>
        <w:rPr>
          <w:rFonts w:ascii="gobCL" w:eastAsia="gobCL" w:hAnsi="gobCL" w:cs="gobCL"/>
        </w:rPr>
        <w:t>s y comercios, demarcaciones de distanciamiento social, letreros y señaléticas, habilitación de carros de compra en páginas web, habilitación de pago digital, kits para delivery, marketing digital, campañas educativas sanitarias, entre otros.</w:t>
      </w:r>
    </w:p>
    <w:p w:rsidR="009A1672" w:rsidRDefault="009A1672">
      <w:pPr>
        <w:pBdr>
          <w:top w:val="nil"/>
          <w:left w:val="nil"/>
          <w:bottom w:val="nil"/>
          <w:right w:val="nil"/>
          <w:between w:val="nil"/>
        </w:pBdr>
        <w:spacing w:after="0"/>
        <w:ind w:left="720"/>
        <w:jc w:val="both"/>
        <w:rPr>
          <w:rFonts w:ascii="gobCL" w:eastAsia="gobCL" w:hAnsi="gobCL" w:cs="gobCL"/>
        </w:rPr>
      </w:pPr>
    </w:p>
    <w:p w:rsidR="009A1672" w:rsidRDefault="001325D8">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w:t>
      </w:r>
      <w:r>
        <w:rPr>
          <w:rFonts w:ascii="gobCL" w:eastAsia="gobCL" w:hAnsi="gobCL" w:cs="gobCL"/>
          <w:b/>
        </w:rPr>
        <w:t>uede financiar con recursos Sercotec:</w:t>
      </w:r>
    </w:p>
    <w:p w:rsidR="009A1672" w:rsidRDefault="009A1672">
      <w:pPr>
        <w:pBdr>
          <w:top w:val="nil"/>
          <w:left w:val="nil"/>
          <w:bottom w:val="nil"/>
          <w:right w:val="nil"/>
          <w:between w:val="nil"/>
        </w:pBdr>
        <w:spacing w:after="0"/>
        <w:jc w:val="both"/>
        <w:rPr>
          <w:rFonts w:ascii="gobCL" w:eastAsia="gobCL" w:hAnsi="gobCL" w:cs="gobCL"/>
          <w:b/>
        </w:rPr>
      </w:pPr>
    </w:p>
    <w:p w:rsidR="009A1672" w:rsidRDefault="001325D8">
      <w:pPr>
        <w:numPr>
          <w:ilvl w:val="0"/>
          <w:numId w:val="5"/>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7"/>
      </w:r>
      <w:r>
        <w:rPr>
          <w:rFonts w:ascii="gobCL" w:eastAsia="gobCL" w:hAnsi="gobCL" w:cs="gobCL"/>
          <w:color w:val="000000"/>
        </w:rPr>
        <w:t xml:space="preserve"> ni sueldos patronales. </w:t>
      </w:r>
    </w:p>
    <w:p w:rsidR="009A1672" w:rsidRDefault="001325D8">
      <w:pPr>
        <w:numPr>
          <w:ilvl w:val="0"/>
          <w:numId w:val="5"/>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w:t>
      </w:r>
      <w:r>
        <w:rPr>
          <w:rFonts w:ascii="gobCL" w:eastAsia="gobCL" w:hAnsi="gobCL" w:cs="gobCL"/>
          <w:color w:val="000000"/>
        </w:rPr>
        <w:t xml:space="preserve">tos impuestos como crédito fiscal, los impuestos podrán ser cargados al Subsidio de Sercotec. Asimismo, para el caso de aquellos que voluntariamente renuncien al cobro de dicho crédito, lo que deberá ser verificado por el Agente Operador. Para esto, en la </w:t>
      </w:r>
      <w:r>
        <w:rPr>
          <w:rFonts w:ascii="gobCL" w:eastAsia="gobCL" w:hAnsi="gobCL" w:cs="gobCL"/>
          <w:color w:val="000000"/>
        </w:rPr>
        <w:t>primera rendición el beneficiario deberá presentar la “Carpeta Tributaria para Solicitar Créditos” en la cual acredite esta situación, disponible en la página web del SII, y en rendiciones posteriores, el Formulario 29 del mes de la respectiva rendición. E</w:t>
      </w:r>
      <w:r>
        <w:rPr>
          <w:rFonts w:ascii="gobCL" w:eastAsia="gobCL" w:hAnsi="gobCL" w:cs="gobCL"/>
          <w:color w:val="000000"/>
        </w:rPr>
        <w:t>n caso que existiesen contribuyentes que por su condición tributaria sean susceptibles de recuperar estos impuestos, pero igualmente opten por acogerse a la excepción del párrafo anterior deben, además, acreditar que no recuperaron dicho impuesto, mediante</w:t>
      </w:r>
      <w:r>
        <w:rPr>
          <w:rFonts w:ascii="gobCL" w:eastAsia="gobCL" w:hAnsi="gobCL" w:cs="gobCL"/>
          <w:color w:val="000000"/>
        </w:rPr>
        <w:t xml:space="preserv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9A1672" w:rsidRDefault="001325D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La compra de bienes raíces, valores e instrumentos financieros (ahorros </w:t>
      </w:r>
      <w:r>
        <w:rPr>
          <w:rFonts w:ascii="gobCL" w:eastAsia="gobCL" w:hAnsi="gobCL" w:cs="gobCL"/>
          <w:color w:val="000000"/>
        </w:rPr>
        <w:t>a plazo, depósitos en fondos mutuos, entre otros).</w:t>
      </w:r>
    </w:p>
    <w:p w:rsidR="009A1672" w:rsidRDefault="001325D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8"/>
      </w:r>
      <w:r>
        <w:rPr>
          <w:rFonts w:ascii="gobCL" w:eastAsia="gobCL" w:hAnsi="gobCL" w:cs="gobCL"/>
          <w:color w:val="000000"/>
        </w:rPr>
        <w:t>. En el caso de las personas jurídicas, se excluye a la totalidad de los socios/as que</w:t>
      </w:r>
      <w:r>
        <w:rPr>
          <w:rFonts w:ascii="gobCL" w:eastAsia="gobCL" w:hAnsi="gobCL" w:cs="gobCL"/>
          <w:color w:val="000000"/>
        </w:rPr>
        <w:t xml:space="preserve"> la conforman y a sus respectivos/as cónyuges, conviviente civil y/o hijos/as.</w:t>
      </w:r>
    </w:p>
    <w:p w:rsidR="009A1672" w:rsidRDefault="001325D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9A1672" w:rsidRDefault="001325D8">
      <w:pPr>
        <w:numPr>
          <w:ilvl w:val="0"/>
          <w:numId w:val="5"/>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9A1672" w:rsidRDefault="001325D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9A1672" w:rsidRDefault="001325D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Cualquier tipo de vehícul</w:t>
      </w:r>
      <w:r>
        <w:rPr>
          <w:rFonts w:ascii="gobCL" w:eastAsia="gobCL" w:hAnsi="gobCL" w:cs="gobCL"/>
          <w:color w:val="000000"/>
        </w:rPr>
        <w:t xml:space="preserve">o que requiera permiso de circulación (patente). </w:t>
      </w:r>
    </w:p>
    <w:p w:rsidR="009A1672" w:rsidRDefault="001325D8">
      <w:pPr>
        <w:spacing w:before="240" w:after="240" w:line="240" w:lineRule="auto"/>
        <w:jc w:val="both"/>
        <w:rPr>
          <w:rFonts w:ascii="gobCL" w:eastAsia="gobCL" w:hAnsi="gobCL" w:cs="gobCL"/>
          <w:b/>
        </w:rPr>
      </w:pPr>
      <w:r>
        <w:rPr>
          <w:rFonts w:ascii="gobCL" w:eastAsia="gobCL" w:hAnsi="gobCL" w:cs="gobCL"/>
          <w:b/>
        </w:rPr>
        <w:t>3. Postulación</w:t>
      </w:r>
    </w:p>
    <w:p w:rsidR="009A1672" w:rsidRDefault="001325D8">
      <w:pPr>
        <w:spacing w:before="240" w:after="240" w:line="240" w:lineRule="auto"/>
        <w:jc w:val="both"/>
        <w:rPr>
          <w:rFonts w:ascii="gobCL" w:eastAsia="gobCL" w:hAnsi="gobCL" w:cs="gobCL"/>
          <w:b/>
        </w:rPr>
      </w:pPr>
      <w:r>
        <w:rPr>
          <w:rFonts w:ascii="gobCL" w:eastAsia="gobCL" w:hAnsi="gobCL" w:cs="gobCL"/>
          <w:b/>
        </w:rPr>
        <w:t>3.1. Plazos de postulación</w:t>
      </w:r>
    </w:p>
    <w:p w:rsidR="009A1672" w:rsidRDefault="001325D8">
      <w:pPr>
        <w:spacing w:before="240" w:after="240" w:line="240" w:lineRule="auto"/>
        <w:jc w:val="both"/>
        <w:rPr>
          <w:rFonts w:ascii="gobCL" w:eastAsia="gobCL" w:hAnsi="gobCL" w:cs="gobCL"/>
          <w:b/>
        </w:rPr>
      </w:pPr>
      <w:r>
        <w:rPr>
          <w:rFonts w:ascii="gobCL" w:eastAsia="gobCL" w:hAnsi="gobCL" w:cs="gobCL"/>
          <w:b/>
          <w:highlight w:val="white"/>
        </w:rPr>
        <w:t>Los/as interesados/as podrán iniciar y enviar su postulación a contar de las 12:00 horas del día 20 de Julio de 2021, hasta las 15:00 horas del día 23 de julio de 2</w:t>
      </w:r>
      <w:r>
        <w:rPr>
          <w:rFonts w:ascii="gobCL" w:eastAsia="gobCL" w:hAnsi="gobCL" w:cs="gobCL"/>
          <w:b/>
          <w:highlight w:val="white"/>
        </w:rPr>
        <w:t xml:space="preserve">021. </w:t>
      </w:r>
    </w:p>
    <w:p w:rsidR="009A1672" w:rsidRDefault="001325D8">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9"/>
      </w:r>
    </w:p>
    <w:p w:rsidR="009A1672" w:rsidRDefault="001325D8">
      <w:pPr>
        <w:spacing w:before="240" w:after="240" w:line="240" w:lineRule="auto"/>
        <w:jc w:val="both"/>
        <w:rPr>
          <w:rFonts w:ascii="gobCL" w:eastAsia="gobCL" w:hAnsi="gobCL" w:cs="gobCL"/>
        </w:rPr>
      </w:pPr>
      <w:r>
        <w:rPr>
          <w:rFonts w:ascii="gobCL" w:eastAsia="gobCL" w:hAnsi="gobCL" w:cs="gobCL"/>
        </w:rPr>
        <w:t>Los plazos anteriormente señalados podrán ser modificados por Sercotec y serán oportunamente informados a través de la página</w:t>
      </w:r>
      <w:r>
        <w:rPr>
          <w:rFonts w:ascii="gobCL" w:eastAsia="gobCL" w:hAnsi="gobCL" w:cs="gobCL"/>
        </w:rPr>
        <w:t xml:space="preserve"> web </w:t>
      </w:r>
      <w:hyperlink r:id="rId9">
        <w:r>
          <w:rPr>
            <w:rFonts w:ascii="gobCL" w:eastAsia="gobCL" w:hAnsi="gobCL" w:cs="gobCL"/>
            <w:color w:val="0563C1"/>
            <w:u w:val="single"/>
          </w:rPr>
          <w:t>www.sercotec.cl</w:t>
        </w:r>
      </w:hyperlink>
      <w:r>
        <w:rPr>
          <w:rFonts w:ascii="gobCL" w:eastAsia="gobCL" w:hAnsi="gobCL" w:cs="gobCL"/>
        </w:rPr>
        <w:t>.</w:t>
      </w:r>
    </w:p>
    <w:tbl>
      <w:tblPr>
        <w:tblStyle w:val="affa"/>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9A1672">
        <w:tc>
          <w:tcPr>
            <w:tcW w:w="8789" w:type="dxa"/>
            <w:shd w:val="clear" w:color="auto" w:fill="D9D9D9"/>
          </w:tcPr>
          <w:p w:rsidR="009A1672" w:rsidRDefault="001325D8">
            <w:pPr>
              <w:jc w:val="both"/>
              <w:rPr>
                <w:rFonts w:ascii="gobCL" w:eastAsia="gobCL" w:hAnsi="gobCL" w:cs="gobCL"/>
                <w:b/>
                <w:sz w:val="22"/>
                <w:szCs w:val="22"/>
                <w:u w:val="single"/>
              </w:rPr>
            </w:pPr>
            <w:r>
              <w:rPr>
                <w:rFonts w:ascii="gobCL" w:eastAsia="gobCL" w:hAnsi="gobCL" w:cs="gobCL"/>
                <w:b/>
                <w:sz w:val="22"/>
                <w:szCs w:val="22"/>
                <w:u w:val="single"/>
              </w:rPr>
              <w:t>IMPORTANTE</w:t>
            </w:r>
          </w:p>
          <w:p w:rsidR="009A1672" w:rsidRDefault="009A1672">
            <w:pPr>
              <w:jc w:val="both"/>
              <w:rPr>
                <w:rFonts w:ascii="gobCL" w:eastAsia="gobCL" w:hAnsi="gobCL" w:cs="gobCL"/>
                <w:b/>
                <w:sz w:val="22"/>
                <w:szCs w:val="22"/>
                <w:u w:val="single"/>
              </w:rPr>
            </w:pPr>
          </w:p>
          <w:p w:rsidR="009A1672" w:rsidRDefault="001325D8">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9A1672" w:rsidRDefault="009A1672">
            <w:pPr>
              <w:jc w:val="both"/>
              <w:rPr>
                <w:rFonts w:ascii="gobCL" w:eastAsia="gobCL" w:hAnsi="gobCL" w:cs="gobCL"/>
                <w:sz w:val="22"/>
                <w:szCs w:val="22"/>
              </w:rPr>
            </w:pPr>
          </w:p>
          <w:p w:rsidR="009A1672" w:rsidRDefault="001325D8">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w:t>
            </w:r>
            <w:r>
              <w:rPr>
                <w:rFonts w:ascii="gobCL" w:eastAsia="gobCL" w:hAnsi="gobCL" w:cs="gobCL"/>
                <w:sz w:val="22"/>
                <w:szCs w:val="22"/>
              </w:rPr>
              <w:t>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w:t>
            </w:r>
            <w:r>
              <w:rPr>
                <w:rFonts w:ascii="gobCL" w:eastAsia="gobCL" w:hAnsi="gobCL" w:cs="gobCL"/>
                <w:sz w:val="22"/>
                <w:szCs w:val="22"/>
              </w:rPr>
              <w:t>dual de Responsabilidad Limitada (EIRL), sólo podrá recibir un beneficio.</w:t>
            </w:r>
          </w:p>
        </w:tc>
      </w:tr>
    </w:tbl>
    <w:p w:rsidR="009A1672" w:rsidRDefault="001325D8">
      <w:pPr>
        <w:spacing w:before="240" w:after="240" w:line="240" w:lineRule="auto"/>
        <w:jc w:val="both"/>
        <w:rPr>
          <w:rFonts w:ascii="gobCL" w:eastAsia="gobCL" w:hAnsi="gobCL" w:cs="gobCL"/>
          <w:b/>
        </w:rPr>
      </w:pPr>
      <w:r>
        <w:rPr>
          <w:rFonts w:ascii="gobCL" w:eastAsia="gobCL" w:hAnsi="gobCL" w:cs="gobCL"/>
          <w:b/>
        </w:rPr>
        <w:t>3.2. Pasos para postular</w:t>
      </w:r>
    </w:p>
    <w:p w:rsidR="009A1672" w:rsidRDefault="001325D8">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9A1672" w:rsidRDefault="001325D8">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9A1672" w:rsidRDefault="001325D8">
      <w:pPr>
        <w:spacing w:before="240" w:after="240" w:line="240" w:lineRule="auto"/>
        <w:jc w:val="both"/>
        <w:rPr>
          <w:rFonts w:ascii="gobCL" w:eastAsia="gobCL" w:hAnsi="gobCL" w:cs="gobCL"/>
        </w:rPr>
      </w:pPr>
      <w:r>
        <w:rPr>
          <w:rFonts w:ascii="gobCL" w:eastAsia="gobCL" w:hAnsi="gobCL" w:cs="gobCL"/>
        </w:rPr>
        <w:t>Registrarse como usuario/a en www.sercot</w:t>
      </w:r>
      <w:r>
        <w:rPr>
          <w:rFonts w:ascii="gobCL" w:eastAsia="gobCL" w:hAnsi="gobCL" w:cs="gobCL"/>
        </w:rPr>
        <w:t>ec.cl, o bien, actualizar sus antecedentes de registro. El/la postulante realiza la postulación con la información ingresada en este registro, la cual será utilizada por Sercotec durante todo el proceso.</w:t>
      </w:r>
    </w:p>
    <w:p w:rsidR="009A1672" w:rsidRDefault="001325D8">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9A1672" w:rsidRDefault="001325D8">
      <w:pPr>
        <w:spacing w:before="240" w:after="240" w:line="240" w:lineRule="auto"/>
        <w:jc w:val="both"/>
        <w:rPr>
          <w:rFonts w:ascii="gobCL" w:eastAsia="gobCL" w:hAnsi="gobCL" w:cs="gobCL"/>
        </w:rPr>
      </w:pPr>
      <w:r>
        <w:rPr>
          <w:rFonts w:ascii="gobCL" w:eastAsia="gobCL" w:hAnsi="gobCL" w:cs="gobCL"/>
        </w:rPr>
        <w:t>Cada empresa o persona</w:t>
      </w:r>
      <w:r>
        <w:rPr>
          <w:rFonts w:ascii="gobCL" w:eastAsia="gobCL" w:hAnsi="gobCL" w:cs="gobCL"/>
        </w:rPr>
        <w:t xml:space="preserve">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9A1672" w:rsidRDefault="001325D8">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9A1672" w:rsidRDefault="001325D8">
      <w:pPr>
        <w:spacing w:before="240" w:after="240" w:line="240" w:lineRule="auto"/>
        <w:jc w:val="both"/>
        <w:rPr>
          <w:rFonts w:ascii="gobCL" w:eastAsia="gobCL" w:hAnsi="gobCL" w:cs="gobCL"/>
        </w:rPr>
      </w:pPr>
      <w:r>
        <w:rPr>
          <w:rFonts w:ascii="gobCL" w:eastAsia="gobCL" w:hAnsi="gobCL" w:cs="gobCL"/>
        </w:rPr>
        <w:t>c.1. Los contribuyentes de primera categoría deberán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1">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del nivel de ventas.</w:t>
      </w:r>
    </w:p>
    <w:p w:rsidR="009A1672" w:rsidRDefault="001325D8">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w:t>
      </w:r>
      <w:r>
        <w:rPr>
          <w:rFonts w:ascii="gobCL" w:eastAsia="gobCL" w:hAnsi="gobCL" w:cs="gobCL"/>
          <w:b/>
          <w:color w:val="000000"/>
          <w:u w:val="single"/>
        </w:rPr>
        <w:t>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w:t>
      </w:r>
      <w:r>
        <w:rPr>
          <w:rFonts w:ascii="gobCL" w:eastAsia="gobCL" w:hAnsi="gobCL" w:cs="gobCL"/>
          <w:color w:val="000000"/>
        </w:rPr>
        <w:t xml:space="preserve">ria electrónica sólo será válida, si el RUT emisor es el mismo que el RUT de la empresa postulante. </w:t>
      </w:r>
    </w:p>
    <w:p w:rsidR="009A1672" w:rsidRDefault="009A1672">
      <w:pPr>
        <w:pBdr>
          <w:top w:val="nil"/>
          <w:left w:val="nil"/>
          <w:bottom w:val="nil"/>
          <w:right w:val="nil"/>
          <w:between w:val="nil"/>
        </w:pBdr>
        <w:spacing w:after="0" w:line="240" w:lineRule="auto"/>
        <w:jc w:val="both"/>
        <w:rPr>
          <w:rFonts w:ascii="gobCL" w:eastAsia="gobCL" w:hAnsi="gobCL" w:cs="gobCL"/>
          <w:color w:val="000000"/>
        </w:rPr>
      </w:pPr>
    </w:p>
    <w:p w:rsidR="009A1672" w:rsidRDefault="001325D8">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w:t>
      </w:r>
      <w:r>
        <w:rPr>
          <w:rFonts w:ascii="gobCL" w:eastAsia="gobCL" w:hAnsi="gobCL" w:cs="gobCL"/>
        </w:rPr>
        <w:t>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deberá adjuntar el o los documentos correspondientes en el formulario de postulación de la convocatoria. El/los Formularios 29 los puede obtener en la siguiente ruta:</w:t>
      </w:r>
    </w:p>
    <w:p w:rsidR="009A1672" w:rsidRDefault="009A1672">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9A1672" w:rsidRDefault="001325D8">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rsidR="009A1672" w:rsidRDefault="009A1672">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9A1672" w:rsidRDefault="001325D8">
      <w:pPr>
        <w:jc w:val="both"/>
        <w:rPr>
          <w:rFonts w:ascii="gobCL" w:eastAsia="gobCL" w:hAnsi="gobCL" w:cs="gobCL"/>
        </w:rPr>
      </w:pPr>
      <w:r>
        <w:rPr>
          <w:rFonts w:ascii="gobCL" w:eastAsia="gobCL" w:hAnsi="gobCL" w:cs="gobCL"/>
        </w:rPr>
        <w:t>Respecto de los Formularios 29, éstos deberán ser los que se generan automá</w:t>
      </w:r>
      <w:r>
        <w:rPr>
          <w:rFonts w:ascii="gobCL" w:eastAsia="gobCL" w:hAnsi="gobCL" w:cs="gobCL"/>
        </w:rPr>
        <w:t>ticamente a través del sitio del SII (Formato PDF).</w:t>
      </w:r>
    </w:p>
    <w:p w:rsidR="009A1672" w:rsidRDefault="001325D8">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improcedentes o que provoque la pérdida de la información ingresada por los postul</w:t>
      </w:r>
      <w:r>
        <w:rPr>
          <w:rFonts w:ascii="gobCL" w:eastAsia="gobCL" w:hAnsi="gobCL" w:cs="gobCL"/>
        </w:rPr>
        <w:t xml:space="preserve">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w:t>
      </w:r>
      <w:r>
        <w:rPr>
          <w:rFonts w:ascii="gobCL" w:eastAsia="gobCL" w:hAnsi="gobCL" w:cs="gobCL"/>
          <w:b/>
        </w:rPr>
        <w:t>ivos del Programa, ni los requisitos exigidos para su admisibilidad o formalización.</w:t>
      </w:r>
    </w:p>
    <w:p w:rsidR="009A1672" w:rsidRDefault="009A1672">
      <w:pPr>
        <w:pBdr>
          <w:top w:val="nil"/>
          <w:left w:val="nil"/>
          <w:bottom w:val="nil"/>
          <w:right w:val="nil"/>
          <w:between w:val="nil"/>
        </w:pBdr>
        <w:spacing w:after="0" w:line="240" w:lineRule="auto"/>
        <w:jc w:val="both"/>
        <w:rPr>
          <w:rFonts w:ascii="gobCL" w:eastAsia="gobCL" w:hAnsi="gobCL" w:cs="gobCL"/>
        </w:rPr>
      </w:pPr>
    </w:p>
    <w:p w:rsidR="009A1672" w:rsidRDefault="001325D8">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c.2. En el caso de personas naturales con inicio de actividades en segunda categoría, los postulantes deberán adjuntar el Informe anual de emisión de boletas de honorario</w:t>
      </w:r>
      <w:r>
        <w:rPr>
          <w:rFonts w:ascii="gobCL" w:eastAsia="gobCL" w:hAnsi="gobCL" w:cs="gobCL"/>
        </w:rPr>
        <w:t>s, correspondiente, también descargable del sitio web de SII:</w:t>
      </w:r>
    </w:p>
    <w:p w:rsidR="009A1672" w:rsidRDefault="009A1672">
      <w:pPr>
        <w:pBdr>
          <w:top w:val="nil"/>
          <w:left w:val="nil"/>
          <w:bottom w:val="nil"/>
          <w:right w:val="nil"/>
          <w:between w:val="nil"/>
        </w:pBdr>
        <w:spacing w:after="0" w:line="240" w:lineRule="auto"/>
        <w:jc w:val="both"/>
        <w:rPr>
          <w:rFonts w:ascii="gobCL" w:eastAsia="gobCL" w:hAnsi="gobCL" w:cs="gobCL"/>
          <w:highlight w:val="green"/>
        </w:rPr>
      </w:pPr>
    </w:p>
    <w:p w:rsidR="009A1672" w:rsidRDefault="001325D8">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Aquellos con inicio de actividades hasta el 31 de diciembre de 2020, deberán adjuntar su informe anual de emisión de boletas de honorarios del año 2020 (en formato PDF)</w:t>
      </w:r>
    </w:p>
    <w:p w:rsidR="009A1672" w:rsidRDefault="001325D8">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Aquellos con inicio de actividades posteriores al 31 de diciembre de 2020 y hasta al 31 de marzo de 2021, deberán adjuntar su informe anual de emisión de boletas de honorarios del año 2021 (en formato PDF)</w:t>
      </w:r>
    </w:p>
    <w:p w:rsidR="009A1672" w:rsidRDefault="009A1672">
      <w:pPr>
        <w:rPr>
          <w:rFonts w:ascii="gobCL" w:eastAsia="gobCL" w:hAnsi="gobCL" w:cs="gobCL"/>
          <w:highlight w:val="green"/>
        </w:rPr>
      </w:pPr>
    </w:p>
    <w:p w:rsidR="009A1672" w:rsidRDefault="001325D8">
      <w:pPr>
        <w:jc w:val="both"/>
        <w:rPr>
          <w:rFonts w:ascii="gobCL" w:eastAsia="gobCL" w:hAnsi="gobCL" w:cs="gobCL"/>
        </w:rPr>
      </w:pPr>
      <w:r>
        <w:rPr>
          <w:rFonts w:ascii="gobCL" w:eastAsia="gobCL" w:hAnsi="gobCL" w:cs="gobCL"/>
        </w:rPr>
        <w:t>El hecho de que el informe anual de emisión de bo</w:t>
      </w:r>
      <w:r>
        <w:rPr>
          <w:rFonts w:ascii="gobCL" w:eastAsia="gobCL" w:hAnsi="gobCL" w:cs="gobCL"/>
        </w:rPr>
        <w:t>letas adjuntado no cuente con boletas emitidas en el período, no será impedimento para realizar la postulación al programa, ya que en este caso se entiende que el postulante tiene venta $0.</w:t>
      </w:r>
    </w:p>
    <w:p w:rsidR="009A1672" w:rsidRDefault="001325D8">
      <w:pPr>
        <w:jc w:val="both"/>
        <w:rPr>
          <w:rFonts w:ascii="gobCL" w:eastAsia="gobCL" w:hAnsi="gobCL" w:cs="gobCL"/>
        </w:rPr>
      </w:pPr>
      <w:r>
        <w:rPr>
          <w:rFonts w:ascii="gobCL" w:eastAsia="gobCL" w:hAnsi="gobCL" w:cs="gobCL"/>
        </w:rPr>
        <w:t>Además, deberán adjuntar al menos una boleta de honorario relacion</w:t>
      </w:r>
      <w:r>
        <w:rPr>
          <w:rFonts w:ascii="gobCL" w:eastAsia="gobCL" w:hAnsi="gobCL" w:cs="gobCL"/>
        </w:rPr>
        <w:t>ada con el rubro y/o cualquier tipo de información complementaria, tales como diplomas, fotografías, documentos municipales o de asociaciones gremiales, publicaciones en prensa, redes sociales, entre otras, que demuestre el ejercicio de la actividad.</w:t>
      </w:r>
    </w:p>
    <w:p w:rsidR="009A1672" w:rsidRDefault="001325D8">
      <w:pPr>
        <w:spacing w:before="240" w:after="240" w:line="240" w:lineRule="auto"/>
        <w:jc w:val="both"/>
        <w:rPr>
          <w:rFonts w:ascii="gobCL" w:eastAsia="gobCL" w:hAnsi="gobCL" w:cs="gobCL"/>
          <w:b/>
        </w:rPr>
      </w:pPr>
      <w:r>
        <w:rPr>
          <w:rFonts w:ascii="gobCL" w:eastAsia="gobCL" w:hAnsi="gobCL" w:cs="gobCL"/>
          <w:b/>
        </w:rPr>
        <w:t xml:space="preserve">3.3. </w:t>
      </w:r>
      <w:r>
        <w:rPr>
          <w:rFonts w:ascii="gobCL" w:eastAsia="gobCL" w:hAnsi="gobCL" w:cs="gobCL"/>
          <w:b/>
        </w:rPr>
        <w:t>Apoyo en el proceso de postulación.</w:t>
      </w:r>
    </w:p>
    <w:p w:rsidR="009A1672" w:rsidRDefault="001325D8">
      <w:pPr>
        <w:spacing w:before="240" w:after="240" w:line="240" w:lineRule="auto"/>
        <w:jc w:val="both"/>
        <w:rPr>
          <w:rFonts w:ascii="gobCL" w:eastAsia="gobCL" w:hAnsi="gobCL" w:cs="gobCL"/>
        </w:rPr>
      </w:pPr>
      <w:bookmarkStart w:id="5" w:name="_heading=h.3znysh7" w:colFirst="0" w:colLast="0"/>
      <w:bookmarkEnd w:id="5"/>
      <w:r>
        <w:rPr>
          <w:rFonts w:ascii="gobCL" w:eastAsia="gobCL" w:hAnsi="gobCL" w:cs="gobCL"/>
        </w:rPr>
        <w:t>Para que las personas interesadas realicen consultas, Sercotec dispondrá de un Agente Operador. Para esta convocatoria, el Agente asignado es: Fudea Ufro. Datos de contacto: mail mariacristina.zambrano@ufrontera.cl, móvil : 56 9 9422 0080   Además, puede p</w:t>
      </w:r>
      <w:r>
        <w:rPr>
          <w:rFonts w:ascii="gobCL" w:eastAsia="gobCL" w:hAnsi="gobCL" w:cs="gobCL"/>
        </w:rPr>
        <w:t>edir orientación a los Puntos Mipe, a los teléfonos ;232425300 232425305o bien, ingresando a www.sercotec.cl.</w:t>
      </w:r>
    </w:p>
    <w:p w:rsidR="009A1672" w:rsidRDefault="001325D8">
      <w:pPr>
        <w:spacing w:before="240" w:after="240" w:line="240" w:lineRule="auto"/>
        <w:jc w:val="both"/>
        <w:rPr>
          <w:rFonts w:ascii="gobCL" w:eastAsia="gobCL" w:hAnsi="gobCL" w:cs="gobCL"/>
        </w:rPr>
      </w:pPr>
      <w:r>
        <w:rPr>
          <w:rFonts w:ascii="gobCL" w:eastAsia="gobCL" w:hAnsi="gobCL" w:cs="gobCL"/>
          <w:b/>
        </w:rPr>
        <w:t>4. Selección de beneficiarios/as</w:t>
      </w:r>
    </w:p>
    <w:p w:rsidR="009A1672" w:rsidRDefault="001325D8">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w:t>
      </w:r>
      <w:r>
        <w:rPr>
          <w:rFonts w:ascii="gobCL" w:eastAsia="gobCL" w:hAnsi="gobCL" w:cs="gobCL"/>
        </w:rPr>
        <w:t xml:space="preserve"> 2.1.1.a, será realizada automáticamente a través de la plataforma de postulación, lo que determinará quienes podrán enviar el formulario de postulación.</w:t>
      </w:r>
    </w:p>
    <w:p w:rsidR="009A1672" w:rsidRDefault="001325D8">
      <w:pPr>
        <w:spacing w:before="240" w:after="240" w:line="240" w:lineRule="auto"/>
        <w:jc w:val="both"/>
        <w:rPr>
          <w:rFonts w:ascii="gobCL" w:eastAsia="gobCL" w:hAnsi="gobCL" w:cs="gobCL"/>
        </w:rPr>
      </w:pPr>
      <w:r>
        <w:rPr>
          <w:rFonts w:ascii="gobCL" w:eastAsia="gobCL" w:hAnsi="gobCL" w:cs="gobCL"/>
        </w:rPr>
        <w:t>Las postulaciones (sean de contribuyentes de primera o segunda categoría) serán ordenadas por orden de</w:t>
      </w:r>
      <w:r>
        <w:rPr>
          <w:rFonts w:ascii="gobCL" w:eastAsia="gobCL" w:hAnsi="gobCL" w:cs="gobCL"/>
        </w:rPr>
        <w:t xml:space="preserve"> llegada. 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10"/>
      </w:r>
      <w:r>
        <w:rPr>
          <w:rFonts w:ascii="gobCL" w:eastAsia="gobCL" w:hAnsi="gobCL" w:cs="gobCL"/>
        </w:rPr>
        <w:t xml:space="preserve">. </w:t>
      </w:r>
    </w:p>
    <w:p w:rsidR="009A1672" w:rsidRDefault="001325D8">
      <w:pPr>
        <w:spacing w:before="240" w:after="240" w:line="240" w:lineRule="auto"/>
        <w:jc w:val="both"/>
        <w:rPr>
          <w:rFonts w:ascii="gobCL" w:eastAsia="gobCL" w:hAnsi="gobCL" w:cs="gobCL"/>
        </w:rPr>
      </w:pPr>
      <w:r>
        <w:rPr>
          <w:rFonts w:ascii="gobCL" w:eastAsia="gobCL" w:hAnsi="gobCL" w:cs="gobCL"/>
        </w:rPr>
        <w:t>Posteriormente se notificará a los/as s</w:t>
      </w:r>
      <w:r>
        <w:rPr>
          <w:rFonts w:ascii="gobCL" w:eastAsia="gobCL" w:hAnsi="gobCL" w:cs="gobCL"/>
        </w:rPr>
        <w:t>eleccionados/as para que realicen la etapa de formalización (ver punto 5). En dicha instancia se aplicará el procedimiento de “Orden de Prelación” en aquellos casos en que un seleccionado/a renuncie al subsidio, incumpla algún requisito establecido en base</w:t>
      </w:r>
      <w:r>
        <w:rPr>
          <w:rFonts w:ascii="gobCL" w:eastAsia="gobCL" w:hAnsi="gobCL" w:cs="gobCL"/>
        </w:rPr>
        <w:t xml:space="preserve">s de convocatoria o se encuentre en otra situación calificada por Sercotec, que no permita materializar la entrega del subsidio, o bien, cuando la Dirección Regional disponga de mayores recursos para asignar a la convocatoria. </w:t>
      </w:r>
    </w:p>
    <w:p w:rsidR="009A1672" w:rsidRDefault="001325D8">
      <w:pPr>
        <w:spacing w:before="240" w:after="240" w:line="240" w:lineRule="auto"/>
        <w:jc w:val="both"/>
        <w:rPr>
          <w:rFonts w:ascii="gobCL" w:eastAsia="gobCL" w:hAnsi="gobCL" w:cs="gobCL"/>
        </w:rPr>
      </w:pPr>
      <w:r>
        <w:rPr>
          <w:rFonts w:ascii="gobCL" w:eastAsia="gobCL" w:hAnsi="gobCL" w:cs="gobCL"/>
        </w:rPr>
        <w:t>En el caso de que el/la post</w:t>
      </w:r>
      <w:r>
        <w:rPr>
          <w:rFonts w:ascii="gobCL" w:eastAsia="gobCL" w:hAnsi="gobCL" w:cs="gobCL"/>
        </w:rPr>
        <w:t>ulante seleccionado/a no acepte las condiciones para formalizar, se procederá de igual manera con el postulante que sigue en orden de puntaje, y así sucesivamente.</w:t>
      </w:r>
    </w:p>
    <w:p w:rsidR="009A1672" w:rsidRDefault="001325D8">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w:t>
      </w:r>
      <w:r>
        <w:rPr>
          <w:rFonts w:ascii="gobCL" w:eastAsia="gobCL" w:hAnsi="gobCL" w:cs="gobCL"/>
        </w:rPr>
        <w:t xml:space="preserve"> a través de correo electrónico, según registro de usuario/a en www.sercotec.cl. La ausencia de notificación no obsta a la validez o eficacia del resultado de la etapa.</w:t>
      </w:r>
    </w:p>
    <w:p w:rsidR="009A1672" w:rsidRDefault="001325D8">
      <w:pPr>
        <w:spacing w:before="240" w:after="240" w:line="240" w:lineRule="auto"/>
        <w:jc w:val="both"/>
        <w:rPr>
          <w:rFonts w:ascii="gobCL" w:eastAsia="gobCL" w:hAnsi="gobCL" w:cs="gobCL"/>
          <w:b/>
        </w:rPr>
      </w:pPr>
      <w:r>
        <w:rPr>
          <w:rFonts w:ascii="gobCL" w:eastAsia="gobCL" w:hAnsi="gobCL" w:cs="gobCL"/>
          <w:b/>
        </w:rPr>
        <w:t>5. Formalización</w:t>
      </w:r>
    </w:p>
    <w:p w:rsidR="009A1672" w:rsidRDefault="001325D8">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w:t>
      </w:r>
      <w:r>
        <w:rPr>
          <w:rFonts w:ascii="gobCL" w:eastAsia="gobCL" w:hAnsi="gobCL" w:cs="gobCL"/>
        </w:rPr>
        <w:t>nte por la plataforma de Sercotec. Luego, el Agente Operador deberá tomar contacto dentro de las 24 horas siguientes con estas empresas, para informar respecto de los pasos a seguir.</w:t>
      </w:r>
    </w:p>
    <w:p w:rsidR="009A1672" w:rsidRDefault="001325D8">
      <w:pPr>
        <w:spacing w:before="240" w:after="240" w:line="240" w:lineRule="auto"/>
        <w:jc w:val="both"/>
        <w:rPr>
          <w:rFonts w:ascii="gobCL" w:eastAsia="gobCL" w:hAnsi="gobCL" w:cs="gobCL"/>
          <w:b/>
        </w:rPr>
      </w:pPr>
      <w:r>
        <w:rPr>
          <w:rFonts w:ascii="gobCL" w:eastAsia="gobCL" w:hAnsi="gobCL" w:cs="gobCL"/>
          <w:b/>
        </w:rPr>
        <w:t>El proceso de formalización no podrá tener una duración mayor a 20 días h</w:t>
      </w:r>
      <w:r>
        <w:rPr>
          <w:rFonts w:ascii="gobCL" w:eastAsia="gobCL" w:hAnsi="gobCL" w:cs="gobCL"/>
          <w:b/>
        </w:rPr>
        <w:t xml:space="preserve">ábiles administrativos, lo cual contempla el envío de documentos que acreditan el cumplimiento de requisitos, la formulación del plan de compras y la firma de contrato. </w:t>
      </w:r>
    </w:p>
    <w:p w:rsidR="009A1672" w:rsidRDefault="001325D8">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w:t>
      </w:r>
      <w:r>
        <w:rPr>
          <w:rFonts w:ascii="gobCL" w:eastAsia="gobCL" w:hAnsi="gobCL" w:cs="gobCL"/>
          <w:b/>
        </w:rPr>
        <w:t xml:space="preserve">xtensión de este plazo hasta por un máximo de 10 días hábiles administrativos adicionales a los 20 días del proceso de formalización, para aquellas empresas soliciten la ampliación, por escrito, justificando las razones de esta solicitud. </w:t>
      </w:r>
    </w:p>
    <w:p w:rsidR="009A1672" w:rsidRDefault="001325D8">
      <w:pPr>
        <w:spacing w:before="240" w:after="240" w:line="240" w:lineRule="auto"/>
        <w:jc w:val="both"/>
        <w:rPr>
          <w:rFonts w:ascii="gobCL" w:eastAsia="gobCL" w:hAnsi="gobCL" w:cs="gobCL"/>
          <w:b/>
          <w:u w:val="single"/>
        </w:rPr>
      </w:pPr>
      <w:r>
        <w:rPr>
          <w:rFonts w:ascii="gobCL" w:eastAsia="gobCL" w:hAnsi="gobCL" w:cs="gobCL"/>
        </w:rPr>
        <w:t>Con todo, previo</w:t>
      </w:r>
      <w:r>
        <w:rPr>
          <w:rFonts w:ascii="gobCL" w:eastAsia="gobCL" w:hAnsi="gobCL" w:cs="gobCL"/>
        </w:rPr>
        <w:t xml:space="preserve">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(al menos</w:t>
      </w:r>
      <w:r>
        <w:rPr>
          <w:rFonts w:ascii="gobCL" w:eastAsia="gobCL" w:hAnsi="gobCL" w:cs="gobCL"/>
          <w:b/>
          <w:u w:val="single"/>
        </w:rPr>
        <w:t xml:space="preserve"> uno) será dentro de los primeros 10 días hábiles administrativos, contados desde la fecha de la notificación que se efectúe a través del sistema de evaluación.</w:t>
      </w:r>
    </w:p>
    <w:p w:rsidR="009A1672" w:rsidRDefault="001325D8">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w:t>
      </w:r>
      <w:r>
        <w:rPr>
          <w:rFonts w:ascii="gobCL" w:eastAsia="gobCL" w:hAnsi="gobCL" w:cs="gobCL"/>
          <w:b/>
          <w:u w:val="single"/>
        </w:rPr>
        <w:t>icitados para su formalización, dentro del plazo establecido, se entenderá que renuncia a la firma de contrato para ejecutar su Plan de Compras.</w:t>
      </w:r>
    </w:p>
    <w:p w:rsidR="009A1672" w:rsidRDefault="001325D8">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w:t>
      </w:r>
      <w:r>
        <w:rPr>
          <w:rFonts w:ascii="gobCL" w:eastAsia="gobCL" w:hAnsi="gobCL" w:cs="gobCL"/>
        </w:rPr>
        <w:t xml:space="preserve"> sin efecto la selección o contratación realizada, ante lo cual Sercotec podrá iniciar las acciones legales correspondientes.</w:t>
      </w:r>
    </w:p>
    <w:tbl>
      <w:tblPr>
        <w:tblStyle w:val="affb"/>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9A1672">
        <w:trPr>
          <w:jc w:val="center"/>
        </w:trPr>
        <w:tc>
          <w:tcPr>
            <w:tcW w:w="0" w:type="auto"/>
            <w:shd w:val="clear" w:color="auto" w:fill="D9D9D9"/>
            <w:tcMar>
              <w:top w:w="57" w:type="dxa"/>
              <w:bottom w:w="57" w:type="dxa"/>
            </w:tcMar>
          </w:tcPr>
          <w:p w:rsidR="009A1672" w:rsidRDefault="001325D8">
            <w:pPr>
              <w:jc w:val="both"/>
              <w:rPr>
                <w:rFonts w:ascii="gobCL" w:eastAsia="gobCL" w:hAnsi="gobCL" w:cs="gobCL"/>
                <w:b/>
                <w:sz w:val="22"/>
                <w:szCs w:val="22"/>
                <w:u w:val="single"/>
              </w:rPr>
            </w:pPr>
            <w:r>
              <w:rPr>
                <w:rFonts w:ascii="gobCL" w:eastAsia="gobCL" w:hAnsi="gobCL" w:cs="gobCL"/>
                <w:b/>
                <w:sz w:val="22"/>
                <w:szCs w:val="22"/>
                <w:u w:val="single"/>
              </w:rPr>
              <w:t>IMPORTANTE:</w:t>
            </w:r>
          </w:p>
          <w:p w:rsidR="009A1672" w:rsidRDefault="001325D8">
            <w:pPr>
              <w:jc w:val="both"/>
              <w:rPr>
                <w:rFonts w:ascii="gobCL" w:eastAsia="gobCL" w:hAnsi="gobCL" w:cs="gobCL"/>
                <w:sz w:val="22"/>
                <w:szCs w:val="22"/>
              </w:rPr>
            </w:pPr>
            <w:r>
              <w:rPr>
                <w:rFonts w:ascii="gobCL" w:eastAsia="gobCL" w:hAnsi="gobCL" w:cs="gobCL"/>
                <w:sz w:val="22"/>
                <w:szCs w:val="22"/>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w:t>
            </w:r>
            <w:r>
              <w:rPr>
                <w:rFonts w:ascii="gobCL" w:eastAsia="gobCL" w:hAnsi="gobCL" w:cs="gobCL"/>
                <w:sz w:val="22"/>
                <w:szCs w:val="22"/>
              </w:rPr>
              <w:t>autorizada por poder notarial), lo cual deberá ser analizado por Sercotec, y aprobado por el Director Regional.</w:t>
            </w:r>
          </w:p>
        </w:tc>
      </w:tr>
    </w:tbl>
    <w:p w:rsidR="009A1672" w:rsidRDefault="001325D8">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ajustar, </w:t>
      </w:r>
      <w:r>
        <w:rPr>
          <w:rFonts w:ascii="gobCL" w:eastAsia="gobCL" w:hAnsi="gobCL" w:cs="gobCL"/>
        </w:rPr>
        <w:t xml:space="preserve">si es necesario, su respectivo Plan de Compras, para lo cual contarán con la asesoría del Agente Operador. </w:t>
      </w:r>
    </w:p>
    <w:p w:rsidR="009A1672" w:rsidRDefault="001325D8">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Sercotec, debe ser igual al esta</w:t>
      </w:r>
      <w:r>
        <w:rPr>
          <w:rFonts w:ascii="gobCL" w:eastAsia="gobCL" w:hAnsi="gobCL" w:cs="gobCL"/>
        </w:rPr>
        <w:t xml:space="preserve">blecido en el contrato, pudiendo existir modificaciones entre los ítems a financiar, en los casos que sea pertinente. </w:t>
      </w:r>
    </w:p>
    <w:p w:rsidR="009A1672" w:rsidRDefault="001325D8">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w:t>
      </w:r>
      <w:r>
        <w:rPr>
          <w:rFonts w:ascii="gobCL" w:eastAsia="gobCL" w:hAnsi="gobCL" w:cs="gobCL"/>
        </w:rPr>
        <w:t>niones deberán llevarse a cabo en las oficinas del Agente Operador o en otras dependencias institucionales, de manera de garantizar la formalidad de dichas actividades.</w:t>
      </w:r>
    </w:p>
    <w:p w:rsidR="009A1672" w:rsidRDefault="001325D8">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w:t>
      </w:r>
      <w:r>
        <w:rPr>
          <w:rFonts w:ascii="gobCL" w:eastAsia="gobCL" w:hAnsi="gobCL" w:cs="gobCL"/>
        </w:rPr>
        <w:t>cción Regional de Sercotec que contenga, el Plan de Compras formulado y, todas las actividades realizadas, con sus respectivos medios de verificación, en el marco de la formulación del Plan de Compras a implementar.</w:t>
      </w:r>
    </w:p>
    <w:p w:rsidR="009A1672" w:rsidRDefault="001325D8">
      <w:pPr>
        <w:spacing w:before="240" w:after="240" w:line="240" w:lineRule="auto"/>
        <w:jc w:val="both"/>
        <w:rPr>
          <w:rFonts w:ascii="gobCL" w:eastAsia="gobCL" w:hAnsi="gobCL" w:cs="gobCL"/>
        </w:rPr>
      </w:pPr>
      <w:r>
        <w:rPr>
          <w:rFonts w:ascii="gobCL" w:eastAsia="gobCL" w:hAnsi="gobCL" w:cs="gobCL"/>
        </w:rPr>
        <w:t>Este informe debe estar aprobado y firma</w:t>
      </w:r>
      <w:r>
        <w:rPr>
          <w:rFonts w:ascii="gobCL" w:eastAsia="gobCL" w:hAnsi="gobCL" w:cs="gobCL"/>
        </w:rPr>
        <w:t>do por el beneficiario o su representante (representante en caso de persona jurídica) y deberá ser coherente con el Plan de Compras postulado, y será revisado por Sercotec para su aprobación, quien podrá solicitar ajustes al Plan de Compras formulado. Ante</w:t>
      </w:r>
      <w:r>
        <w:rPr>
          <w:rFonts w:ascii="gobCL" w:eastAsia="gobCL" w:hAnsi="gobCL" w:cs="gobCL"/>
        </w:rPr>
        <w:t>s de comenzar la ejecución de las actividades establecidas en el Plan de Compras, este debe ser aprobado por el/la Ejecutivo/a de Fomento correspondiente.</w:t>
      </w:r>
    </w:p>
    <w:p w:rsidR="009A1672" w:rsidRDefault="001325D8">
      <w:pPr>
        <w:spacing w:before="240" w:after="240" w:line="240" w:lineRule="auto"/>
        <w:jc w:val="both"/>
        <w:rPr>
          <w:rFonts w:ascii="gobCL" w:eastAsia="gobCL" w:hAnsi="gobCL" w:cs="gobCL"/>
          <w:b/>
        </w:rPr>
      </w:pPr>
      <w:r>
        <w:rPr>
          <w:rFonts w:ascii="gobCL" w:eastAsia="gobCL" w:hAnsi="gobCL" w:cs="gobCL"/>
          <w:b/>
        </w:rPr>
        <w:t>6. Implementación del Plan de Compras.</w:t>
      </w:r>
    </w:p>
    <w:p w:rsidR="009A1672" w:rsidRDefault="001325D8">
      <w:pPr>
        <w:spacing w:before="240" w:after="240"/>
        <w:jc w:val="both"/>
        <w:rPr>
          <w:rFonts w:ascii="gobCL" w:eastAsia="gobCL" w:hAnsi="gobCL" w:cs="gobCL"/>
        </w:rPr>
      </w:pPr>
      <w:r>
        <w:rPr>
          <w:rFonts w:ascii="gobCL" w:eastAsia="gobCL" w:hAnsi="gobCL" w:cs="gobCL"/>
        </w:rPr>
        <w:t>Los/as beneficiarios/as de la presente convocatoria deberán ej</w:t>
      </w:r>
      <w:r>
        <w:rPr>
          <w:rFonts w:ascii="gobCL" w:eastAsia="gobCL" w:hAnsi="gobCL" w:cs="gobCL"/>
        </w:rPr>
        <w:t xml:space="preserve">ecutar el Plan de Compras de acuerdo a la programación definida, conforme a las condiciones comprometidas en el contrato suscrito con el Agente Operador. </w:t>
      </w:r>
    </w:p>
    <w:p w:rsidR="009A1672" w:rsidRDefault="001325D8">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w:t>
      </w:r>
      <w:r>
        <w:rPr>
          <w:rFonts w:ascii="gobCL" w:eastAsia="gobCL" w:hAnsi="gobCL" w:cs="gobCL"/>
        </w:rPr>
        <w:t xml:space="preserve"> correcta implementación del programa, asegurar la correcta utilización de los recursos adjudicados y asistir en el proceso de rendición de recursos.</w:t>
      </w:r>
    </w:p>
    <w:p w:rsidR="009A1672" w:rsidRDefault="001325D8">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9A1672" w:rsidRDefault="001325D8">
      <w:pPr>
        <w:numPr>
          <w:ilvl w:val="1"/>
          <w:numId w:val="10"/>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w:t>
      </w:r>
      <w:r>
        <w:rPr>
          <w:rFonts w:ascii="gobCL" w:eastAsia="gobCL" w:hAnsi="gobCL" w:cs="gobCL"/>
          <w:b/>
          <w:color w:val="000000"/>
        </w:rPr>
        <w:t>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w:t>
      </w:r>
      <w:r>
        <w:rPr>
          <w:rFonts w:ascii="gobCL" w:eastAsia="gobCL" w:hAnsi="gobCL" w:cs="gobCL"/>
          <w:color w:val="000000"/>
        </w:rPr>
        <w:t>a/s. Para la modalidad de la compra asistida, el monto de las mismas deberá ser igual o superior a $ 50.000.- (cincuenta mil pesos) netos. De esta forma, todas las compras bajo dicho monto, deben ser financiadas a través del mecanismo de reembolso.</w:t>
      </w:r>
    </w:p>
    <w:p w:rsidR="009A1672" w:rsidRDefault="001325D8">
      <w:pPr>
        <w:numPr>
          <w:ilvl w:val="0"/>
          <w:numId w:val="10"/>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w:t>
      </w:r>
      <w:r>
        <w:rPr>
          <w:rFonts w:ascii="gobCL" w:eastAsia="gobCL" w:hAnsi="gobCL" w:cs="gobCL"/>
          <w:b/>
          <w:color w:val="000000"/>
        </w:rPr>
        <w:t>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w:t>
      </w:r>
      <w:r>
        <w:rPr>
          <w:rFonts w:ascii="gobCL" w:eastAsia="gobCL" w:hAnsi="gobCL" w:cs="gobCL"/>
          <w:color w:val="000000"/>
        </w:rPr>
        <w:t>rsos correspondientes en un plazo no superior a 15 (quince) días hábiles contados desde la fecha que se solicita el reembolso (el beneficiario/a debe financiar los impuestos asociados a la/s compra/s realizada/s). Para lo anterior, el AOS deberá entregar a</w:t>
      </w:r>
      <w:r>
        <w:rPr>
          <w:rFonts w:ascii="gobCL" w:eastAsia="gobCL" w:hAnsi="gobCL" w:cs="gobCL"/>
          <w:color w:val="000000"/>
        </w:rPr>
        <w:t>l beneficiario un comprobante físico o electrónico, que señale que la documentación y antecedentes entregados, necesarios para poder cursar el reembolso, son los correctos, señalando en este mismo comprobante, la fecha máxima de reintegro de los recursos s</w:t>
      </w:r>
      <w:r>
        <w:rPr>
          <w:rFonts w:ascii="gobCL" w:eastAsia="gobCL" w:hAnsi="gobCL" w:cs="gobCL"/>
          <w:color w:val="000000"/>
        </w:rPr>
        <w:t>olicitados.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1"/>
      </w:r>
      <w:r>
        <w:rPr>
          <w:rFonts w:ascii="gobCL" w:eastAsia="gobCL" w:hAnsi="gobCL" w:cs="gobCL"/>
          <w:color w:val="000000"/>
        </w:rPr>
        <w:t xml:space="preserve">.  </w:t>
      </w:r>
    </w:p>
    <w:p w:rsidR="009A1672" w:rsidRDefault="001325D8">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9A1672" w:rsidRDefault="001325D8">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w:t>
      </w:r>
      <w:r>
        <w:rPr>
          <w:rFonts w:ascii="gobCL" w:eastAsia="gobCL" w:hAnsi="gobCL" w:cs="gobCL"/>
          <w:b/>
        </w:rPr>
        <w:t>mpras en su totalidad, junto con la entrega de documentación técnica y/o contable correspondiente, en un plazo máximo de 2 (dos) meses, contados desde la fecha de firma del contrato. No obstante, excepcionalmente, el beneficiario/a podrá solicitar por escr</w:t>
      </w:r>
      <w:r>
        <w:rPr>
          <w:rFonts w:ascii="gobCL" w:eastAsia="gobCL" w:hAnsi="gobCL" w:cs="gobCL"/>
          <w:b/>
        </w:rPr>
        <w:t xml:space="preserve">ito, autorización para extender el plazo establecido, lo que será evaluado en cada caso, en base a una carta dirigida al Directora/a Regional. </w:t>
      </w:r>
    </w:p>
    <w:p w:rsidR="009A1672" w:rsidRDefault="001325D8">
      <w:pPr>
        <w:pBdr>
          <w:top w:val="nil"/>
          <w:left w:val="nil"/>
          <w:bottom w:val="nil"/>
          <w:right w:val="nil"/>
          <w:between w:val="nil"/>
        </w:pBdr>
        <w:spacing w:before="240" w:after="240"/>
        <w:jc w:val="both"/>
        <w:rPr>
          <w:rFonts w:ascii="gobCL" w:eastAsia="gobCL" w:hAnsi="gobCL" w:cs="gobCL"/>
        </w:rPr>
      </w:pPr>
      <w:r>
        <w:rPr>
          <w:rFonts w:ascii="gobCL" w:eastAsia="gobCL" w:hAnsi="gobCL" w:cs="gobCL"/>
        </w:rPr>
        <w:t xml:space="preserve">Dicha solicitud debe realizarse previo a la fecha de expiración del contrato y dar cuenta de las razones que la </w:t>
      </w:r>
      <w:r>
        <w:rPr>
          <w:rFonts w:ascii="gobCL" w:eastAsia="gobCL" w:hAnsi="gobCL" w:cs="gobCL"/>
        </w:rPr>
        <w:t>avalen. El/la Director/a Regional, o quien lo subrogue, podrá autorizar o no la solicitud de ampliación del plazo, lo cual deberá ser informado oportunamente al empresario y al Agente Operador correspondiente.</w:t>
      </w:r>
    </w:p>
    <w:p w:rsidR="009A1672" w:rsidRDefault="001325D8">
      <w:pPr>
        <w:spacing w:before="240" w:after="240"/>
        <w:jc w:val="both"/>
        <w:rPr>
          <w:rFonts w:ascii="gobCL" w:eastAsia="gobCL" w:hAnsi="gobCL" w:cs="gobCL"/>
        </w:rPr>
      </w:pPr>
      <w:r>
        <w:rPr>
          <w:rFonts w:ascii="gobCL" w:eastAsia="gobCL" w:hAnsi="gobCL" w:cs="gobCL"/>
        </w:rPr>
        <w:t>Además, se podrá ampliar la ejecución del cont</w:t>
      </w:r>
      <w:r>
        <w:rPr>
          <w:rFonts w:ascii="gobCL" w:eastAsia="gobCL" w:hAnsi="gobCL" w:cs="gobCL"/>
        </w:rPr>
        <w:t>rato por el plazo que determine la Dirección Regional de Sercotec, cuando existan situaciones no imputables al beneficiario que afecten la ejecución de su plan.</w:t>
      </w:r>
    </w:p>
    <w:p w:rsidR="009A1672" w:rsidRDefault="001325D8">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w:t>
      </w:r>
      <w:r>
        <w:rPr>
          <w:rFonts w:ascii="gobCL" w:eastAsia="gobCL" w:hAnsi="gobCL" w:cs="gobCL"/>
          <w:b/>
        </w:rPr>
        <w:t xml:space="preserve"> de Sercotec, aprobado por Resolución N° 10.084, del 07 de junio de 2021, o aquella que la reemplace, salvo en aquello que haya sido modificado por las presentes bases</w:t>
      </w:r>
      <w:r>
        <w:rPr>
          <w:rFonts w:ascii="gobCL" w:eastAsia="gobCL" w:hAnsi="gobCL" w:cs="gobCL"/>
          <w:b/>
          <w:vertAlign w:val="superscript"/>
        </w:rPr>
        <w:footnoteReference w:id="12"/>
      </w:r>
      <w:r>
        <w:rPr>
          <w:rFonts w:ascii="gobCL" w:eastAsia="gobCL" w:hAnsi="gobCL" w:cs="gobCL"/>
          <w:b/>
        </w:rPr>
        <w:t xml:space="preserve">. </w:t>
      </w:r>
    </w:p>
    <w:p w:rsidR="009A1672" w:rsidRDefault="001325D8">
      <w:pPr>
        <w:spacing w:before="240" w:after="240"/>
        <w:jc w:val="both"/>
        <w:rPr>
          <w:rFonts w:ascii="gobCL" w:eastAsia="gobCL" w:hAnsi="gobCL" w:cs="gobCL"/>
        </w:rPr>
      </w:pPr>
      <w:r>
        <w:rPr>
          <w:rFonts w:ascii="gobCL" w:eastAsia="gobCL" w:hAnsi="gobCL" w:cs="gobCL"/>
        </w:rPr>
        <w:t>En el caso que se requiera modificar el Plan de Compras, esto debe ser solicitado por</w:t>
      </w:r>
      <w:r>
        <w:rPr>
          <w:rFonts w:ascii="gobCL" w:eastAsia="gobCL" w:hAnsi="gobCL" w:cs="gobCL"/>
        </w:rPr>
        <w:t xml:space="preserve">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3"/>
      </w:r>
      <w:r>
        <w:rPr>
          <w:rFonts w:ascii="gobCL" w:eastAsia="gobCL" w:hAnsi="gobCL" w:cs="gobCL"/>
        </w:rPr>
        <w:t>. El ejecutivo/a de fomento, contraparte de Sercotec, tendrá la facultad de aceptar o rechazar tal petición, lo cual deberá ser inform</w:t>
      </w:r>
      <w:r>
        <w:rPr>
          <w:rFonts w:ascii="gobCL" w:eastAsia="gobCL" w:hAnsi="gobCL" w:cs="gobCL"/>
        </w:rPr>
        <w:t>ado por escrito.</w:t>
      </w:r>
    </w:p>
    <w:p w:rsidR="009A1672" w:rsidRDefault="001325D8">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9A1672" w:rsidRDefault="001325D8">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w:t>
      </w:r>
      <w:r>
        <w:rPr>
          <w:rFonts w:ascii="gobCL" w:eastAsia="gobCL" w:hAnsi="gobCL" w:cs="gobCL"/>
        </w:rPr>
        <w:t>ria anterior de Sercotec, CORFO o de algún otro organismo público, que haya implicado la entrega al beneficiario/a, de un subsidio otorgado con fondos público. Para acreditar esta condición, la empresa deberá firmar una declaración jurada contenida en el A</w:t>
      </w:r>
      <w:r>
        <w:rPr>
          <w:rFonts w:ascii="gobCL" w:eastAsia="gobCL" w:hAnsi="gobCL" w:cs="gobCL"/>
        </w:rPr>
        <w:t>nexo N°4.</w:t>
      </w:r>
    </w:p>
    <w:p w:rsidR="009A1672" w:rsidRDefault="001325D8">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9A1672" w:rsidRDefault="001325D8">
      <w:pPr>
        <w:spacing w:before="240" w:after="240"/>
        <w:jc w:val="both"/>
        <w:rPr>
          <w:rFonts w:ascii="gobCL" w:eastAsia="gobCL" w:hAnsi="gobCL" w:cs="gobCL"/>
        </w:rPr>
      </w:pPr>
      <w:r>
        <w:rPr>
          <w:rFonts w:ascii="gobCL" w:eastAsia="gobCL" w:hAnsi="gobCL" w:cs="gobCL"/>
        </w:rPr>
        <w:t xml:space="preserve">Sercotec podrá analizar la pertinencia de la continuidad de los proyectos y poner término a los mismos, en caso de que éstos, al término del primer mes, no hayan ejecutado el 60% del presupuesto asignado y no existan antecedentes que </w:t>
      </w:r>
      <w:r>
        <w:rPr>
          <w:rFonts w:ascii="gobCL" w:eastAsia="gobCL" w:hAnsi="gobCL" w:cs="gobCL"/>
        </w:rPr>
        <w:t>pudiesen justificar dicho atraso, lo que será calificado por escrito por el Director Regional, fundadamente.</w:t>
      </w:r>
    </w:p>
    <w:p w:rsidR="009A1672" w:rsidRDefault="001325D8">
      <w:pPr>
        <w:tabs>
          <w:tab w:val="left" w:pos="709"/>
        </w:tabs>
        <w:spacing w:before="240" w:after="240"/>
        <w:jc w:val="both"/>
        <w:rPr>
          <w:rFonts w:ascii="gobCL" w:eastAsia="gobCL" w:hAnsi="gobCL" w:cs="gobCL"/>
          <w:b/>
        </w:rPr>
      </w:pPr>
      <w:r>
        <w:rPr>
          <w:rFonts w:ascii="gobCL" w:eastAsia="gobCL" w:hAnsi="gobCL" w:cs="gobCL"/>
          <w:b/>
        </w:rPr>
        <w:t>7. Cierre del programa.</w:t>
      </w:r>
    </w:p>
    <w:p w:rsidR="009A1672" w:rsidRDefault="001325D8">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w:t>
      </w:r>
      <w:r>
        <w:rPr>
          <w:rFonts w:ascii="gobCL" w:eastAsia="gobCL" w:hAnsi="gobCL" w:cs="gobCL"/>
        </w:rPr>
        <w:t xml:space="preserve">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9A1672" w:rsidRDefault="001325D8">
      <w:pPr>
        <w:spacing w:before="240" w:after="240"/>
        <w:jc w:val="both"/>
        <w:rPr>
          <w:rFonts w:ascii="gobCL" w:eastAsia="gobCL" w:hAnsi="gobCL" w:cs="gobCL"/>
          <w:b/>
        </w:rPr>
      </w:pPr>
      <w:r>
        <w:rPr>
          <w:rFonts w:ascii="gobCL" w:eastAsia="gobCL" w:hAnsi="gobCL" w:cs="gobCL"/>
          <w:b/>
        </w:rPr>
        <w:t>8. Término Anticipado</w:t>
      </w:r>
      <w:r>
        <w:rPr>
          <w:rFonts w:ascii="gobCL" w:eastAsia="gobCL" w:hAnsi="gobCL" w:cs="gobCL"/>
          <w:b/>
        </w:rPr>
        <w:t xml:space="preserve"> del Contrato</w:t>
      </w:r>
    </w:p>
    <w:p w:rsidR="009A1672" w:rsidRDefault="001325D8">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9A1672" w:rsidRDefault="001325D8">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9A1672" w:rsidRDefault="001325D8">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9A1672" w:rsidRDefault="001325D8">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9A1672" w:rsidRDefault="001325D8">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9A1672" w:rsidRDefault="001325D8">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9A1672" w:rsidRDefault="001325D8">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9A1672" w:rsidRDefault="001325D8">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9A1672" w:rsidRDefault="001325D8">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9A1672" w:rsidRDefault="001325D8">
      <w:pPr>
        <w:numPr>
          <w:ilvl w:val="0"/>
          <w:numId w:val="6"/>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9A1672" w:rsidRDefault="001325D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9A1672" w:rsidRDefault="001325D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9A1672" w:rsidRDefault="001325D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anteriormente en una convocatoria anterior de Sercotec, CORFO o de algún otro or</w:t>
      </w:r>
      <w:r>
        <w:rPr>
          <w:rFonts w:ascii="gobCL" w:eastAsia="gobCL" w:hAnsi="gobCL" w:cs="gobCL"/>
        </w:rPr>
        <w:t xml:space="preserve">ganismo público, que haya </w:t>
      </w:r>
      <w:r>
        <w:rPr>
          <w:rFonts w:ascii="gobCL" w:eastAsia="gobCL" w:hAnsi="gobCL" w:cs="gobCL"/>
          <w:color w:val="000000"/>
        </w:rPr>
        <w:t xml:space="preserve">implicado la entrega al beneficiario/a, de un subsidio otorgado con fondos público. </w:t>
      </w:r>
    </w:p>
    <w:p w:rsidR="009A1672" w:rsidRDefault="001325D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w:t>
      </w:r>
      <w:r>
        <w:rPr>
          <w:rFonts w:ascii="gobCL" w:eastAsia="gobCL" w:hAnsi="gobCL" w:cs="gobCL"/>
          <w:color w:val="000000"/>
        </w:rPr>
        <w:t>icadas debidamente por Sercotec.</w:t>
      </w:r>
    </w:p>
    <w:p w:rsidR="009A1672" w:rsidRDefault="001325D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Si al término del primer mes, no se ha ejecutado el 60% del presupuesto asignado y no existan antecedentes que pudiesen justificar dicho atraso, lo que será calificado por escrito por el Director Regional, fundadamente.</w:t>
      </w:r>
    </w:p>
    <w:p w:rsidR="009A1672" w:rsidRDefault="001325D8">
      <w:pPr>
        <w:spacing w:before="240" w:after="240"/>
        <w:jc w:val="both"/>
        <w:rPr>
          <w:rFonts w:ascii="gobCL" w:eastAsia="gobCL" w:hAnsi="gobCL" w:cs="gobCL"/>
        </w:rPr>
      </w:pPr>
      <w:r>
        <w:rPr>
          <w:rFonts w:ascii="gobCL" w:eastAsia="gobCL" w:hAnsi="gobCL" w:cs="gobCL"/>
        </w:rPr>
        <w:t xml:space="preserve">La </w:t>
      </w:r>
      <w:r>
        <w:rPr>
          <w:rFonts w:ascii="gobCL" w:eastAsia="gobCL" w:hAnsi="gobCL" w:cs="gobCL"/>
        </w:rPr>
        <w:t xml:space="preserve">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por escrito, acompañada de los antecedentes que fundamentan dicha solicitud, en el plazo de 10 (diez) días hábiles administra</w:t>
      </w:r>
      <w:r>
        <w:rPr>
          <w:rFonts w:ascii="gobCL" w:eastAsia="gobCL" w:hAnsi="gobCL" w:cs="gobCL"/>
        </w:rPr>
        <w:t xml:space="preserve">tivos desde que tuvo conocimiento del incumplimiento. </w:t>
      </w:r>
    </w:p>
    <w:p w:rsidR="009A1672" w:rsidRDefault="001325D8">
      <w:pPr>
        <w:spacing w:before="240" w:after="240"/>
        <w:jc w:val="both"/>
        <w:rPr>
          <w:rFonts w:ascii="gobCL" w:eastAsia="gobCL" w:hAnsi="gobCL" w:cs="gobCL"/>
        </w:rPr>
      </w:pPr>
      <w:r>
        <w:rPr>
          <w:rFonts w:ascii="gobCL" w:eastAsia="gobCL" w:hAnsi="gobCL" w:cs="gobCL"/>
        </w:rPr>
        <w:t>En el caso de ser aceptada la solicitud, se autorizará el término anticipado por causas imputables al beneficiario/a, mediante la firma de un acta por parte de Sercotec. Se entenderá terminado el contr</w:t>
      </w:r>
      <w:r>
        <w:rPr>
          <w:rFonts w:ascii="gobCL" w:eastAsia="gobCL" w:hAnsi="gobCL" w:cs="gobCL"/>
        </w:rPr>
        <w:t xml:space="preserve">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9A1672" w:rsidRDefault="001325D8">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w:t>
      </w:r>
      <w:r>
        <w:rPr>
          <w:rFonts w:ascii="gobCL" w:eastAsia="gobCL" w:hAnsi="gobCL" w:cs="gobCL"/>
          <w:b/>
        </w:rPr>
        <w:t>ecedentemente, no podrán acceder a un instrumento de Sercotec que considere entrega de un subsidio, por un plazo de 2 (dos) años contados desde la fecha de firma del acta de término anticipado.</w:t>
      </w:r>
    </w:p>
    <w:p w:rsidR="009A1672" w:rsidRDefault="001325D8">
      <w:pPr>
        <w:spacing w:before="240" w:after="240"/>
        <w:jc w:val="both"/>
        <w:rPr>
          <w:rFonts w:ascii="gobCL" w:eastAsia="gobCL" w:hAnsi="gobCL" w:cs="gobCL"/>
          <w:b/>
        </w:rPr>
      </w:pPr>
      <w:r>
        <w:rPr>
          <w:rFonts w:ascii="gobCL" w:eastAsia="gobCL" w:hAnsi="gobCL" w:cs="gobCL"/>
          <w:b/>
        </w:rPr>
        <w:t>9. Otros</w:t>
      </w:r>
    </w:p>
    <w:p w:rsidR="009A1672" w:rsidRDefault="001325D8">
      <w:pPr>
        <w:spacing w:before="240" w:after="240"/>
        <w:jc w:val="both"/>
        <w:rPr>
          <w:rFonts w:ascii="gobCL" w:eastAsia="gobCL" w:hAnsi="gobCL" w:cs="gobCL"/>
        </w:rPr>
      </w:pPr>
      <w:r>
        <w:rPr>
          <w:rFonts w:ascii="gobCL" w:eastAsia="gobCL" w:hAnsi="gobCL" w:cs="gobCL"/>
        </w:rPr>
        <w:t>Los beneficiarios/as autorizan desde ya a Sercotec pa</w:t>
      </w:r>
      <w:r>
        <w:rPr>
          <w:rFonts w:ascii="gobCL" w:eastAsia="gobCL" w:hAnsi="gobCL" w:cs="gobCL"/>
        </w:rPr>
        <w:t>ra la difusión de su Plan de Compras a través de los medios de comunicación. La participación en la presente convocatoria implica el conocimiento y aceptación de las características y normativa que regula el Instrumento.</w:t>
      </w:r>
    </w:p>
    <w:p w:rsidR="009A1672" w:rsidRDefault="001325D8">
      <w:pPr>
        <w:spacing w:before="240" w:after="240"/>
        <w:jc w:val="both"/>
        <w:rPr>
          <w:rFonts w:ascii="gobCL" w:eastAsia="gobCL" w:hAnsi="gobCL" w:cs="gobCL"/>
          <w:color w:val="000000"/>
        </w:rPr>
      </w:pPr>
      <w:r>
        <w:rPr>
          <w:rFonts w:ascii="gobCL" w:eastAsia="gobCL" w:hAnsi="gobCL" w:cs="gobCL"/>
        </w:rPr>
        <w:t>Con su participación, el/ postulant</w:t>
      </w:r>
      <w:r>
        <w:rPr>
          <w:rFonts w:ascii="gobCL" w:eastAsia="gobCL" w:hAnsi="gobCL" w:cs="gobCL"/>
        </w:rPr>
        <w:t>e acepta entregar, a solicitud de Sercotec, a sus funcionarios/as o terceros que actúen en su representación, toda la información necesaria para evaluar el Plan de Compras y su impacto en el tiempo, desde su inicio y hasta después de tres años, contados de</w:t>
      </w:r>
      <w:r>
        <w:rPr>
          <w:rFonts w:ascii="gobCL" w:eastAsia="gobCL" w:hAnsi="gobCL" w:cs="gobCL"/>
        </w:rPr>
        <w:t xml:space="preserve">sde la fecha de inicio de ejecución del contrato.     </w:t>
      </w:r>
    </w:p>
    <w:p w:rsidR="009A1672" w:rsidRDefault="001325D8">
      <w:pPr>
        <w:spacing w:after="0" w:line="276" w:lineRule="auto"/>
        <w:jc w:val="both"/>
        <w:rPr>
          <w:rFonts w:ascii="gobCL" w:eastAsia="gobCL" w:hAnsi="gobCL" w:cs="gobCL"/>
        </w:rPr>
      </w:pPr>
      <w:r>
        <w:rPr>
          <w:rFonts w:ascii="gobCL" w:eastAsia="gobCL" w:hAnsi="gobCL" w:cs="gobCL"/>
        </w:rPr>
        <w:t>Sercotec se reserva el derecho de descalificar, en cualquier etapa del proceso, al/la beneficiario/a que proporcione información falsa, o que incumpla los requisitos establecidos en las presentes bases</w:t>
      </w:r>
      <w:r>
        <w:rPr>
          <w:rFonts w:ascii="gobCL" w:eastAsia="gobCL" w:hAnsi="gobCL" w:cs="gobCL"/>
        </w:rPr>
        <w:t xml:space="preserve"> incluso luego de formalizado. </w:t>
      </w:r>
    </w:p>
    <w:p w:rsidR="009A1672" w:rsidRDefault="009A1672">
      <w:pPr>
        <w:spacing w:after="0" w:line="276" w:lineRule="auto"/>
        <w:jc w:val="both"/>
        <w:rPr>
          <w:rFonts w:ascii="gobCL" w:eastAsia="gobCL" w:hAnsi="gobCL" w:cs="gobCL"/>
        </w:rPr>
      </w:pPr>
    </w:p>
    <w:p w:rsidR="009A1672" w:rsidRDefault="001325D8">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9A1672" w:rsidRDefault="009A1672">
      <w:pPr>
        <w:spacing w:after="0" w:line="276" w:lineRule="auto"/>
        <w:jc w:val="both"/>
        <w:rPr>
          <w:rFonts w:ascii="gobCL" w:eastAsia="gobCL" w:hAnsi="gobCL" w:cs="gobCL"/>
        </w:rPr>
      </w:pPr>
    </w:p>
    <w:p w:rsidR="009A1672" w:rsidRDefault="001325D8">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9A1672" w:rsidRDefault="009A1672">
      <w:pPr>
        <w:spacing w:after="0" w:line="276" w:lineRule="auto"/>
        <w:jc w:val="both"/>
        <w:rPr>
          <w:rFonts w:ascii="gobCL" w:eastAsia="gobCL" w:hAnsi="gobCL" w:cs="gobCL"/>
        </w:rPr>
      </w:pPr>
    </w:p>
    <w:p w:rsidR="009A1672" w:rsidRDefault="001325D8">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9A1672" w:rsidRDefault="001325D8">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9A1672" w:rsidRDefault="001325D8">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encial, ya sea entre el agente operador, el cliente y/o ejecutivos de fomento de Sercotec, de manera remota, a través de medios telefónicos, videoconferencias, 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9A1672" w:rsidRDefault="001325D8">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9A1672">
        <w:trPr>
          <w:jc w:val="center"/>
        </w:trPr>
        <w:tc>
          <w:tcPr>
            <w:tcW w:w="0" w:type="auto"/>
            <w:shd w:val="clear" w:color="auto" w:fill="D9D9D9"/>
            <w:tcMar>
              <w:top w:w="57" w:type="dxa"/>
              <w:bottom w:w="57" w:type="dxa"/>
            </w:tcMar>
          </w:tcPr>
          <w:p w:rsidR="009A1672" w:rsidRDefault="001325D8">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9A1672" w:rsidRDefault="009A1672">
      <w:pPr>
        <w:jc w:val="center"/>
        <w:rPr>
          <w:rFonts w:ascii="gobCL" w:eastAsia="gobCL" w:hAnsi="gobCL" w:cs="gobCL"/>
          <w:b/>
          <w:sz w:val="20"/>
          <w:szCs w:val="20"/>
        </w:rPr>
      </w:pPr>
    </w:p>
    <w:p w:rsidR="009A1672" w:rsidRDefault="001325D8">
      <w:pPr>
        <w:rPr>
          <w:rFonts w:ascii="gobCL" w:eastAsia="gobCL" w:hAnsi="gobCL" w:cs="gobCL"/>
          <w:b/>
          <w:sz w:val="20"/>
          <w:szCs w:val="20"/>
        </w:rPr>
      </w:pPr>
      <w:r>
        <w:br w:type="page"/>
      </w:r>
    </w:p>
    <w:p w:rsidR="009A1672" w:rsidRDefault="001325D8">
      <w:pPr>
        <w:jc w:val="center"/>
        <w:rPr>
          <w:rFonts w:ascii="gobCL" w:eastAsia="gobCL" w:hAnsi="gobCL" w:cs="gobCL"/>
          <w:b/>
          <w:sz w:val="20"/>
          <w:szCs w:val="20"/>
        </w:rPr>
      </w:pPr>
      <w:r>
        <w:rPr>
          <w:rFonts w:ascii="gobCL" w:eastAsia="gobCL" w:hAnsi="gobCL" w:cs="gobCL"/>
          <w:b/>
          <w:sz w:val="20"/>
          <w:szCs w:val="20"/>
        </w:rPr>
        <w:t>ANEXO N°1</w:t>
      </w:r>
    </w:p>
    <w:p w:rsidR="009A1672" w:rsidRDefault="001325D8">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9A1672" w:rsidRDefault="001325D8">
      <w:pPr>
        <w:jc w:val="both"/>
        <w:rPr>
          <w:rFonts w:ascii="gobCL" w:eastAsia="gobCL" w:hAnsi="gobCL" w:cs="gobCL"/>
          <w:b/>
          <w:color w:val="000000"/>
          <w:sz w:val="20"/>
          <w:szCs w:val="20"/>
        </w:rPr>
      </w:pPr>
      <w:r>
        <w:rPr>
          <w:rFonts w:ascii="gobCL" w:eastAsia="gobCL" w:hAnsi="gobCL" w:cs="gobCL"/>
          <w:b/>
          <w:color w:val="000000"/>
          <w:sz w:val="20"/>
          <w:szCs w:val="20"/>
        </w:rPr>
        <w:t>Admisibilidad Automáti</w:t>
      </w:r>
      <w:r>
        <w:rPr>
          <w:rFonts w:ascii="gobCL" w:eastAsia="gobCL" w:hAnsi="gobCL" w:cs="gobCL"/>
          <w:b/>
          <w:color w:val="000000"/>
          <w:sz w:val="20"/>
          <w:szCs w:val="20"/>
        </w:rPr>
        <w:t>ca:</w:t>
      </w:r>
    </w:p>
    <w:tbl>
      <w:tblPr>
        <w:tblStyle w:val="a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A1672">
        <w:tc>
          <w:tcPr>
            <w:tcW w:w="0" w:type="auto"/>
            <w:shd w:val="clear" w:color="auto" w:fill="D9D9D9"/>
          </w:tcPr>
          <w:p w:rsidR="009A1672" w:rsidRDefault="001325D8">
            <w:pPr>
              <w:jc w:val="center"/>
              <w:rPr>
                <w:rFonts w:ascii="gobCL" w:eastAsia="gobCL" w:hAnsi="gobCL" w:cs="gobCL"/>
                <w:b/>
              </w:rPr>
            </w:pPr>
            <w:r>
              <w:rPr>
                <w:rFonts w:ascii="gobCL" w:eastAsia="gobCL" w:hAnsi="gobCL" w:cs="gobCL"/>
                <w:b/>
              </w:rPr>
              <w:t>Requisito</w:t>
            </w:r>
          </w:p>
        </w:tc>
        <w:tc>
          <w:tcPr>
            <w:tcW w:w="0" w:type="auto"/>
            <w:shd w:val="clear" w:color="auto" w:fill="D9D9D9"/>
          </w:tcPr>
          <w:p w:rsidR="009A1672" w:rsidRDefault="001325D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9A1672">
        <w:tc>
          <w:tcPr>
            <w:tcW w:w="0" w:type="auto"/>
          </w:tcPr>
          <w:p w:rsidR="009A1672" w:rsidRDefault="001325D8">
            <w:pPr>
              <w:jc w:val="both"/>
              <w:rPr>
                <w:rFonts w:ascii="gobCL" w:eastAsia="gobCL" w:hAnsi="gobCL" w:cs="gobCL"/>
              </w:rPr>
            </w:pPr>
            <w:r>
              <w:rPr>
                <w:rFonts w:ascii="gobCL" w:eastAsia="gobCL" w:hAnsi="gobCL" w:cs="gobCL"/>
              </w:rPr>
              <w:t xml:space="preserve">Pueden acceder personas naturales y/o jurídicas, que tributan en primera o segunda categoría, pertenecientes a alguno de los siguientes códigos de actividad económica: </w:t>
            </w:r>
          </w:p>
          <w:p w:rsidR="009A1672" w:rsidRDefault="001325D8">
            <w:pPr>
              <w:jc w:val="both"/>
              <w:rPr>
                <w:rFonts w:ascii="gobCL" w:eastAsia="gobCL" w:hAnsi="gobCL" w:cs="gobCL"/>
              </w:rPr>
            </w:pPr>
            <w:r>
              <w:rPr>
                <w:rFonts w:ascii="gobCL" w:eastAsia="gobCL" w:hAnsi="gobCL" w:cs="gobCL"/>
              </w:rPr>
              <w:t>960200: Peluquería y otros tratamientos de belleza.</w:t>
            </w:r>
          </w:p>
          <w:p w:rsidR="009A1672" w:rsidRDefault="001325D8">
            <w:pPr>
              <w:jc w:val="both"/>
              <w:rPr>
                <w:rFonts w:ascii="gobCL" w:eastAsia="gobCL" w:hAnsi="gobCL" w:cs="gobCL"/>
              </w:rPr>
            </w:pPr>
            <w:r>
              <w:rPr>
                <w:rFonts w:ascii="gobCL" w:eastAsia="gobCL" w:hAnsi="gobCL" w:cs="gobCL"/>
              </w:rPr>
              <w:t>960902: Actividad de salones de masajes, baños públicos.</w:t>
            </w:r>
          </w:p>
          <w:p w:rsidR="009A1672" w:rsidRDefault="001325D8">
            <w:pPr>
              <w:jc w:val="both"/>
              <w:rPr>
                <w:rFonts w:ascii="gobCL" w:eastAsia="gobCL" w:hAnsi="gobCL" w:cs="gobCL"/>
              </w:rPr>
            </w:pPr>
            <w:r>
              <w:rPr>
                <w:rFonts w:ascii="gobCL" w:eastAsia="gobCL" w:hAnsi="gobCL" w:cs="gobCL"/>
              </w:rPr>
              <w:t>960901: Servicio adiestramiento, guardería, peluquería, paseo de mascota, (excepto act. veterinaria).</w:t>
            </w:r>
          </w:p>
          <w:p w:rsidR="009A1672" w:rsidRDefault="001325D8">
            <w:pPr>
              <w:jc w:val="both"/>
              <w:rPr>
                <w:rFonts w:ascii="gobCL" w:eastAsia="gobCL" w:hAnsi="gobCL" w:cs="gobCL"/>
              </w:rPr>
            </w:pPr>
            <w:r>
              <w:rPr>
                <w:rFonts w:ascii="gobCL" w:eastAsia="gobCL" w:hAnsi="gobCL" w:cs="gobCL"/>
              </w:rPr>
              <w:t>869091: Otros servicios de atención de la sal</w:t>
            </w:r>
            <w:r>
              <w:rPr>
                <w:rFonts w:ascii="gobCL" w:eastAsia="gobCL" w:hAnsi="gobCL" w:cs="gobCL"/>
              </w:rPr>
              <w:t>ud humana prestados por empresas.</w:t>
            </w:r>
          </w:p>
          <w:p w:rsidR="009A1672" w:rsidRDefault="001325D8">
            <w:pPr>
              <w:jc w:val="both"/>
              <w:rPr>
                <w:rFonts w:ascii="gobCL" w:eastAsia="gobCL" w:hAnsi="gobCL" w:cs="gobCL"/>
              </w:rPr>
            </w:pPr>
            <w:r>
              <w:rPr>
                <w:rFonts w:ascii="gobCL" w:eastAsia="gobCL" w:hAnsi="gobCL" w:cs="gobCL"/>
              </w:rPr>
              <w:t>960909: Otras actividades de servicios personales N.C.P.</w:t>
            </w:r>
          </w:p>
          <w:p w:rsidR="009A1672" w:rsidRDefault="001325D8">
            <w:pPr>
              <w:jc w:val="both"/>
              <w:rPr>
                <w:rFonts w:ascii="gobCL" w:eastAsia="gobCL" w:hAnsi="gobCL" w:cs="gobCL"/>
              </w:rPr>
            </w:pPr>
            <w:r>
              <w:rPr>
                <w:rFonts w:ascii="gobCL" w:eastAsia="gobCL" w:hAnsi="gobCL" w:cs="gobCL"/>
              </w:rPr>
              <w:t>869092: Servicios prestados de forma independiente por otros profesionales de la salud.</w:t>
            </w:r>
          </w:p>
        </w:tc>
        <w:tc>
          <w:tcPr>
            <w:tcW w:w="0" w:type="auto"/>
          </w:tcPr>
          <w:p w:rsidR="009A1672" w:rsidRDefault="001325D8">
            <w:pPr>
              <w:jc w:val="both"/>
              <w:rPr>
                <w:rFonts w:ascii="gobCL" w:eastAsia="gobCL" w:hAnsi="gobCL" w:cs="gobCL"/>
              </w:rPr>
            </w:pPr>
            <w:r>
              <w:rPr>
                <w:rFonts w:ascii="gobCL" w:eastAsia="gobCL" w:hAnsi="gobCL" w:cs="gobCL"/>
              </w:rPr>
              <w:t>Requisito validado automáticamente a través de la plataforma de postulación c</w:t>
            </w:r>
            <w:r>
              <w:rPr>
                <w:rFonts w:ascii="gobCL" w:eastAsia="gobCL" w:hAnsi="gobCL" w:cs="gobCL"/>
              </w:rPr>
              <w:t>on información provista en línea por el Servicio de Impuestos Internos (se validará el requisito para el RUT de la empresa o persona postulante).</w:t>
            </w:r>
            <w:r>
              <w:rPr>
                <w:rFonts w:ascii="gobCL" w:eastAsia="gobCL" w:hAnsi="gobCL" w:cs="gobCL"/>
                <w:color w:val="000000"/>
                <w:sz w:val="28"/>
                <w:szCs w:val="28"/>
                <w:highlight w:val="white"/>
              </w:rPr>
              <w:t xml:space="preserve"> </w:t>
            </w:r>
          </w:p>
        </w:tc>
      </w:tr>
      <w:tr w:rsidR="009A1672">
        <w:tc>
          <w:tcPr>
            <w:tcW w:w="0" w:type="auto"/>
          </w:tcPr>
          <w:p w:rsidR="009A1672" w:rsidRDefault="001325D8">
            <w:pPr>
              <w:jc w:val="both"/>
              <w:rPr>
                <w:rFonts w:ascii="gobCL" w:eastAsia="gobCL" w:hAnsi="gobCL" w:cs="gobCL"/>
              </w:rPr>
            </w:pPr>
            <w:r>
              <w:rPr>
                <w:rFonts w:ascii="gobCL" w:eastAsia="gobCL" w:hAnsi="gobCL" w:cs="gobCL"/>
              </w:rPr>
              <w:t xml:space="preserve">En el caso de contribuyentes de primera categoría, su domicilio comercial deberá estar registrado en la región de la presente convocatoria en el portal </w:t>
            </w:r>
            <w:hyperlink r:id="rId12">
              <w:r>
                <w:rPr>
                  <w:rFonts w:ascii="gobCL" w:eastAsia="gobCL" w:hAnsi="gobCL" w:cs="gobCL"/>
                  <w:color w:val="0000FF"/>
                  <w:u w:val="single"/>
                </w:rPr>
                <w:t>www.sercotec.cl</w:t>
              </w:r>
            </w:hyperlink>
            <w:r>
              <w:rPr>
                <w:rFonts w:ascii="gobCL" w:eastAsia="gobCL" w:hAnsi="gobCL" w:cs="gobCL"/>
              </w:rPr>
              <w:t>. En el caso de personas naturales que tributan</w:t>
            </w:r>
            <w:r>
              <w:rPr>
                <w:rFonts w:ascii="gobCL" w:eastAsia="gobCL" w:hAnsi="gobCL" w:cs="gobCL"/>
              </w:rPr>
              <w:t xml:space="preserve"> en segunda categoría, su domicilio particular deberá estar registrado en la región correspondiente a la presente convocatoria también en el portal </w:t>
            </w:r>
            <w:hyperlink r:id="rId13">
              <w:r>
                <w:rPr>
                  <w:rFonts w:ascii="gobCL" w:eastAsia="gobCL" w:hAnsi="gobCL" w:cs="gobCL"/>
                  <w:color w:val="0000FF"/>
                  <w:u w:val="single"/>
                </w:rPr>
                <w:t>www.sercotec.cl</w:t>
              </w:r>
            </w:hyperlink>
            <w:r>
              <w:rPr>
                <w:rFonts w:ascii="gobCL" w:eastAsia="gobCL" w:hAnsi="gobCL" w:cs="gobCL"/>
              </w:rPr>
              <w:t xml:space="preserve">. </w:t>
            </w:r>
          </w:p>
        </w:tc>
        <w:tc>
          <w:tcPr>
            <w:tcW w:w="0" w:type="auto"/>
          </w:tcPr>
          <w:p w:rsidR="009A1672" w:rsidRDefault="001325D8">
            <w:pPr>
              <w:jc w:val="both"/>
              <w:rPr>
                <w:rFonts w:ascii="gobCL" w:eastAsia="gobCL" w:hAnsi="gobCL" w:cs="gobCL"/>
              </w:rPr>
            </w:pPr>
            <w:r>
              <w:rPr>
                <w:rFonts w:ascii="gobCL" w:eastAsia="gobCL" w:hAnsi="gobCL" w:cs="gobCL"/>
              </w:rPr>
              <w:t>Requisito validado automáticamente a través de l</w:t>
            </w:r>
            <w:r>
              <w:rPr>
                <w:rFonts w:ascii="gobCL" w:eastAsia="gobCL" w:hAnsi="gobCL" w:cs="gobCL"/>
              </w:rPr>
              <w:t>a plataforma de postulación.</w:t>
            </w:r>
          </w:p>
        </w:tc>
      </w:tr>
      <w:tr w:rsidR="009A1672">
        <w:tc>
          <w:tcPr>
            <w:tcW w:w="0" w:type="auto"/>
            <w:gridSpan w:val="2"/>
            <w:shd w:val="clear" w:color="auto" w:fill="D9D9D9"/>
          </w:tcPr>
          <w:p w:rsidR="009A1672" w:rsidRDefault="001325D8">
            <w:pPr>
              <w:rPr>
                <w:rFonts w:ascii="gobCL" w:eastAsia="gobCL" w:hAnsi="gobCL" w:cs="gobCL"/>
                <w:b/>
              </w:rPr>
            </w:pPr>
            <w:r>
              <w:rPr>
                <w:rFonts w:ascii="gobCL" w:eastAsia="gobCL" w:hAnsi="gobCL" w:cs="gobCL"/>
                <w:b/>
              </w:rPr>
              <w:t>Sólo para el caso de personas naturales o jurídicas con inicio de actividades en primera categoría:</w:t>
            </w:r>
          </w:p>
        </w:tc>
      </w:tr>
      <w:tr w:rsidR="009A1672">
        <w:tc>
          <w:tcPr>
            <w:tcW w:w="0" w:type="auto"/>
          </w:tcPr>
          <w:p w:rsidR="009A1672" w:rsidRDefault="001325D8">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0" w:type="auto"/>
          </w:tcPr>
          <w:p w:rsidR="009A1672" w:rsidRDefault="001325D8">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9A1672" w:rsidRDefault="009A1672">
            <w:pPr>
              <w:jc w:val="both"/>
              <w:rPr>
                <w:rFonts w:ascii="gobCL" w:eastAsia="gobCL" w:hAnsi="gobCL" w:cs="gobCL"/>
              </w:rPr>
            </w:pPr>
          </w:p>
        </w:tc>
      </w:tr>
      <w:tr w:rsidR="009A1672">
        <w:tc>
          <w:tcPr>
            <w:tcW w:w="0" w:type="auto"/>
          </w:tcPr>
          <w:p w:rsidR="009A1672" w:rsidRDefault="001325D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0" w:type="auto"/>
          </w:tcPr>
          <w:p w:rsidR="009A1672" w:rsidRDefault="001325D8">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9A1672">
        <w:tc>
          <w:tcPr>
            <w:tcW w:w="0" w:type="auto"/>
          </w:tcPr>
          <w:p w:rsidR="009A1672" w:rsidRDefault="001325D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la </w:t>
            </w:r>
            <w:r>
              <w:rPr>
                <w:rFonts w:ascii="gobCL" w:eastAsia="gobCL" w:hAnsi="gobCL" w:cs="gobCL"/>
                <w:color w:val="000000"/>
              </w:rPr>
              <w:t>formalización.</w:t>
            </w:r>
          </w:p>
        </w:tc>
        <w:tc>
          <w:tcPr>
            <w:tcW w:w="0" w:type="auto"/>
          </w:tcPr>
          <w:p w:rsidR="009A1672" w:rsidRDefault="001325D8">
            <w:pPr>
              <w:jc w:val="both"/>
              <w:rPr>
                <w:rFonts w:ascii="gobCL" w:eastAsia="gobCL" w:hAnsi="gobCL" w:cs="gobCL"/>
              </w:rPr>
            </w:pPr>
            <w:r>
              <w:rPr>
                <w:rFonts w:ascii="gobCL" w:eastAsia="gobCL" w:hAnsi="gobCL" w:cs="gobCL"/>
              </w:rPr>
              <w:t>Requisito validado por Sercotec para el RUT de la empresa postulante.</w:t>
            </w:r>
          </w:p>
        </w:tc>
      </w:tr>
      <w:tr w:rsidR="009A1672">
        <w:tc>
          <w:tcPr>
            <w:tcW w:w="0" w:type="auto"/>
          </w:tcPr>
          <w:p w:rsidR="009A1672" w:rsidRDefault="001325D8">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0" w:type="auto"/>
          </w:tcPr>
          <w:p w:rsidR="009A1672" w:rsidRDefault="001325D8">
            <w:pPr>
              <w:jc w:val="both"/>
              <w:rPr>
                <w:rFonts w:ascii="gobCL" w:eastAsia="gobCL" w:hAnsi="gobCL" w:cs="gobCL"/>
              </w:rPr>
            </w:pPr>
            <w:r>
              <w:rPr>
                <w:rFonts w:ascii="gobCL" w:eastAsia="gobCL" w:hAnsi="gobCL" w:cs="gobCL"/>
              </w:rPr>
              <w:t>Requisito validado automáticamente a través de la plataforma de postula</w:t>
            </w:r>
            <w:r>
              <w:rPr>
                <w:rFonts w:ascii="gobCL" w:eastAsia="gobCL" w:hAnsi="gobCL" w:cs="gobCL"/>
              </w:rPr>
              <w:t>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9A1672" w:rsidRDefault="009A1672">
      <w:pPr>
        <w:widowControl w:val="0"/>
        <w:pBdr>
          <w:top w:val="nil"/>
          <w:left w:val="nil"/>
          <w:bottom w:val="nil"/>
          <w:right w:val="nil"/>
          <w:between w:val="nil"/>
        </w:pBdr>
        <w:spacing w:after="0" w:line="276" w:lineRule="auto"/>
        <w:rPr>
          <w:rFonts w:ascii="gobCL" w:eastAsia="gobCL" w:hAnsi="gobCL" w:cs="gobCL"/>
        </w:rPr>
      </w:pPr>
    </w:p>
    <w:p w:rsidR="009A1672" w:rsidRDefault="001325D8">
      <w:pPr>
        <w:rPr>
          <w:rFonts w:ascii="gobCL" w:eastAsia="gobCL" w:hAnsi="gobCL" w:cs="gobCL"/>
          <w:b/>
          <w:sz w:val="20"/>
          <w:szCs w:val="20"/>
        </w:rPr>
      </w:pPr>
      <w:r>
        <w:rPr>
          <w:rFonts w:ascii="gobCL" w:eastAsia="gobCL" w:hAnsi="gobCL" w:cs="gobCL"/>
          <w:b/>
          <w:sz w:val="20"/>
          <w:szCs w:val="20"/>
        </w:rPr>
        <w:t>Admisibilidad Manual:</w:t>
      </w:r>
    </w:p>
    <w:tbl>
      <w:tblPr>
        <w:tblStyle w:val="a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A1672">
        <w:tc>
          <w:tcPr>
            <w:tcW w:w="0" w:type="auto"/>
            <w:shd w:val="clear" w:color="auto" w:fill="D9D9D9"/>
          </w:tcPr>
          <w:p w:rsidR="009A1672" w:rsidRDefault="001325D8">
            <w:pPr>
              <w:jc w:val="center"/>
              <w:rPr>
                <w:rFonts w:ascii="gobCL" w:eastAsia="gobCL" w:hAnsi="gobCL" w:cs="gobCL"/>
                <w:b/>
              </w:rPr>
            </w:pPr>
            <w:r>
              <w:rPr>
                <w:rFonts w:ascii="gobCL" w:eastAsia="gobCL" w:hAnsi="gobCL" w:cs="gobCL"/>
                <w:b/>
              </w:rPr>
              <w:t>Requisito</w:t>
            </w:r>
          </w:p>
        </w:tc>
        <w:tc>
          <w:tcPr>
            <w:tcW w:w="0" w:type="auto"/>
            <w:shd w:val="clear" w:color="auto" w:fill="D9D9D9"/>
          </w:tcPr>
          <w:p w:rsidR="009A1672" w:rsidRDefault="001325D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bl>
    <w:p w:rsidR="009A1672" w:rsidRDefault="009A1672">
      <w:pPr>
        <w:widowControl w:val="0"/>
        <w:pBdr>
          <w:top w:val="nil"/>
          <w:left w:val="nil"/>
          <w:bottom w:val="nil"/>
          <w:right w:val="nil"/>
          <w:between w:val="nil"/>
        </w:pBdr>
        <w:spacing w:after="0" w:line="276" w:lineRule="auto"/>
        <w:rPr>
          <w:rFonts w:ascii="gobCL" w:eastAsia="gobCL" w:hAnsi="gobCL" w:cs="gobCL"/>
          <w:b/>
          <w:color w:val="000000"/>
        </w:rPr>
      </w:pPr>
    </w:p>
    <w:tbl>
      <w:tblPr>
        <w:tblStyle w:val="a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A1672">
        <w:tc>
          <w:tcPr>
            <w:tcW w:w="0" w:type="auto"/>
          </w:tcPr>
          <w:p w:rsidR="009A1672" w:rsidRDefault="001325D8">
            <w:pPr>
              <w:jc w:val="both"/>
              <w:rPr>
                <w:rFonts w:ascii="gobCL" w:eastAsia="gobCL" w:hAnsi="gobCL" w:cs="gobCL"/>
              </w:rPr>
            </w:pPr>
            <w:r>
              <w:rPr>
                <w:rFonts w:ascii="gobCL" w:eastAsia="gobCL" w:hAnsi="gobCL" w:cs="gobCL"/>
              </w:rPr>
              <w:t>Las personas naturales y/o jurídica con iniciación de actividades en primera categoría ante SII, deberán tener ventas netas anuales entre 0 y 25.000 UF.</w:t>
            </w:r>
          </w:p>
          <w:p w:rsidR="009A1672" w:rsidRDefault="001325D8">
            <w:pPr>
              <w:jc w:val="both"/>
              <w:rPr>
                <w:rFonts w:ascii="gobCL" w:eastAsia="gobCL" w:hAnsi="gobCL" w:cs="gobCL"/>
              </w:rPr>
            </w:pPr>
            <w:r>
              <w:rPr>
                <w:rFonts w:ascii="gobCL" w:eastAsia="gobCL" w:hAnsi="gobCL" w:cs="gobCL"/>
              </w:rPr>
              <w:t>Para el cálculo del nivel de ventas netas, se utilizará el valor de la UF correspondiente a la fecha de</w:t>
            </w:r>
            <w:r>
              <w:rPr>
                <w:rFonts w:ascii="gobCL" w:eastAsia="gobCL" w:hAnsi="gobCL" w:cs="gobCL"/>
              </w:rPr>
              <w:t xml:space="preserve"> inicio de la presente convocatoria, y se considerarán los códigos 538, 020 y 142 de los respectivos Formularios 29.  Por su parte, se utilizará el siguiente período:</w:t>
            </w:r>
          </w:p>
          <w:p w:rsidR="009A1672" w:rsidRDefault="001325D8">
            <w:pPr>
              <w:jc w:val="both"/>
              <w:rPr>
                <w:rFonts w:ascii="gobCL" w:eastAsia="gobCL" w:hAnsi="gobCL" w:cs="gobCL"/>
              </w:rPr>
            </w:pPr>
            <w:r>
              <w:rPr>
                <w:rFonts w:ascii="gobCL" w:eastAsia="gobCL" w:hAnsi="gobCL" w:cs="gobCL"/>
              </w:rPr>
              <w:t>Período de cálculo de ventas netas anuales, es Mayo 2020 – Abril 2021</w:t>
            </w:r>
          </w:p>
        </w:tc>
        <w:tc>
          <w:tcPr>
            <w:tcW w:w="0" w:type="auto"/>
          </w:tcPr>
          <w:p w:rsidR="009A1672" w:rsidRDefault="001325D8">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w:t>
            </w:r>
            <w:r>
              <w:rPr>
                <w:rFonts w:ascii="gobCL" w:eastAsia="gobCL" w:hAnsi="gobCL" w:cs="gobCL"/>
                <w:color w:val="000000"/>
              </w:rPr>
              <w:t xml:space="preserve">Electrónica completa para Solicitar Créditos disponible en </w:t>
            </w:r>
            <w:hyperlink r:id="rId14">
              <w:r>
                <w:rPr>
                  <w:rFonts w:ascii="gobCL" w:eastAsia="gobCL" w:hAnsi="gobCL" w:cs="gobCL"/>
                  <w:color w:val="0000FF"/>
                  <w:u w:val="single"/>
                </w:rPr>
                <w:t>https://zeus.sii.cl/dii_doc/carpeta_tributaria/html/index.htm</w:t>
              </w:r>
            </w:hyperlink>
          </w:p>
          <w:p w:rsidR="009A1672" w:rsidRDefault="009A1672">
            <w:pPr>
              <w:jc w:val="both"/>
              <w:rPr>
                <w:rFonts w:ascii="gobCL" w:eastAsia="gobCL" w:hAnsi="gobCL" w:cs="gobCL"/>
              </w:rPr>
            </w:pPr>
          </w:p>
        </w:tc>
      </w:tr>
      <w:tr w:rsidR="009A1672">
        <w:tc>
          <w:tcPr>
            <w:tcW w:w="0" w:type="auto"/>
          </w:tcPr>
          <w:p w:rsidR="009A1672" w:rsidRDefault="001325D8">
            <w:pPr>
              <w:jc w:val="both"/>
              <w:rPr>
                <w:rFonts w:ascii="gobCL" w:eastAsia="gobCL" w:hAnsi="gobCL" w:cs="gobCL"/>
              </w:rPr>
            </w:pPr>
            <w:r>
              <w:rPr>
                <w:rFonts w:ascii="gobCL" w:eastAsia="gobCL" w:hAnsi="gobCL" w:cs="gobCL"/>
              </w:rPr>
              <w:t>Las personas naturales con inicio de actividades en segunda categoría ante SII, deberán tener ventas anuales entre 0 y 2.400 UF al año. Período de cálculo de ventas netas anuales se considerará lo siguiente:</w:t>
            </w:r>
          </w:p>
          <w:p w:rsidR="009A1672" w:rsidRDefault="001325D8">
            <w:pPr>
              <w:numPr>
                <w:ilvl w:val="0"/>
                <w:numId w:val="15"/>
              </w:numPr>
              <w:pBdr>
                <w:top w:val="nil"/>
                <w:left w:val="nil"/>
                <w:bottom w:val="nil"/>
                <w:right w:val="nil"/>
                <w:between w:val="nil"/>
              </w:pBdr>
              <w:spacing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hasta el 31 de diciembre de 2020, se tomará el período enero-diciembre de 2020.</w:t>
            </w:r>
          </w:p>
          <w:p w:rsidR="009A1672" w:rsidRDefault="001325D8">
            <w:pPr>
              <w:numPr>
                <w:ilvl w:val="0"/>
                <w:numId w:val="15"/>
              </w:numPr>
              <w:pBdr>
                <w:top w:val="nil"/>
                <w:left w:val="nil"/>
                <w:bottom w:val="nil"/>
                <w:right w:val="nil"/>
                <w:between w:val="nil"/>
              </w:pBdr>
              <w:spacing w:after="160"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posteriores al 31 de diciembre de 2020, se considera el período enero-marzo 2021.</w:t>
            </w:r>
          </w:p>
        </w:tc>
        <w:tc>
          <w:tcPr>
            <w:tcW w:w="0" w:type="auto"/>
          </w:tcPr>
          <w:p w:rsidR="009A1672" w:rsidRDefault="001325D8">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Informe anual </w:t>
            </w:r>
            <w:r>
              <w:rPr>
                <w:rFonts w:ascii="gobCL" w:eastAsia="gobCL" w:hAnsi="gobCL" w:cs="gobCL"/>
                <w:color w:val="000000"/>
              </w:rPr>
              <w:t xml:space="preserve">de emisión de boletas de honorarios año 2020 o 2021 según corresponda, disponible en </w:t>
            </w:r>
            <w:hyperlink r:id="rId15">
              <w:r>
                <w:rPr>
                  <w:rFonts w:ascii="gobCL" w:eastAsia="gobCL" w:hAnsi="gobCL" w:cs="gobCL"/>
                  <w:color w:val="0000FF"/>
                  <w:u w:val="single"/>
                </w:rPr>
                <w:t>www.sii.cl</w:t>
              </w:r>
            </w:hyperlink>
          </w:p>
          <w:p w:rsidR="009A1672" w:rsidRDefault="009A1672">
            <w:pPr>
              <w:pBdr>
                <w:top w:val="nil"/>
                <w:left w:val="nil"/>
                <w:bottom w:val="nil"/>
                <w:right w:val="nil"/>
                <w:between w:val="nil"/>
              </w:pBdr>
              <w:jc w:val="both"/>
              <w:rPr>
                <w:rFonts w:ascii="gobCL" w:eastAsia="gobCL" w:hAnsi="gobCL" w:cs="gobCL"/>
                <w:color w:val="000000"/>
              </w:rPr>
            </w:pPr>
          </w:p>
        </w:tc>
      </w:tr>
      <w:tr w:rsidR="009A1672">
        <w:tc>
          <w:tcPr>
            <w:tcW w:w="0" w:type="auto"/>
          </w:tcPr>
          <w:p w:rsidR="009A1672" w:rsidRDefault="001325D8">
            <w:pPr>
              <w:jc w:val="both"/>
              <w:rPr>
                <w:rFonts w:ascii="gobCL" w:eastAsia="gobCL" w:hAnsi="gobCL" w:cs="gobCL"/>
              </w:rPr>
            </w:pPr>
            <w:r>
              <w:rPr>
                <w:rFonts w:ascii="gobCL" w:eastAsia="gobCL" w:hAnsi="gobCL" w:cs="gobCL"/>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w:t>
            </w:r>
            <w:r>
              <w:rPr>
                <w:rFonts w:ascii="gobCL" w:eastAsia="gobCL" w:hAnsi="gobCL" w:cs="gobCL"/>
              </w:rPr>
              <w:t>de información complementaria, tales como diplomas, fotografías, documentos municipales o de asociaciones gremiales o que lo demuestren, publicaciones en prensa, redes sociales, entre otras, que lo demuestre.</w:t>
            </w:r>
          </w:p>
        </w:tc>
        <w:tc>
          <w:tcPr>
            <w:tcW w:w="0" w:type="auto"/>
          </w:tcPr>
          <w:p w:rsidR="009A1672" w:rsidRDefault="001325D8">
            <w:pPr>
              <w:pBdr>
                <w:top w:val="nil"/>
                <w:left w:val="nil"/>
                <w:bottom w:val="nil"/>
                <w:right w:val="nil"/>
                <w:between w:val="nil"/>
              </w:pBdr>
              <w:jc w:val="both"/>
              <w:rPr>
                <w:rFonts w:ascii="gobCL" w:eastAsia="gobCL" w:hAnsi="gobCL" w:cs="gobCL"/>
                <w:color w:val="000000"/>
              </w:rPr>
            </w:pPr>
            <w:r>
              <w:rPr>
                <w:rFonts w:ascii="gobCL" w:eastAsia="gobCL" w:hAnsi="gobCL" w:cs="gobCL"/>
              </w:rPr>
              <w:t xml:space="preserve">Plataforma de postulación Sercotec. </w:t>
            </w:r>
          </w:p>
        </w:tc>
      </w:tr>
    </w:tbl>
    <w:p w:rsidR="009A1672" w:rsidRDefault="009A1672">
      <w:pPr>
        <w:rPr>
          <w:rFonts w:ascii="gobCL" w:eastAsia="gobCL" w:hAnsi="gobCL" w:cs="gobCL"/>
          <w:b/>
          <w:sz w:val="20"/>
          <w:szCs w:val="20"/>
        </w:rPr>
      </w:pPr>
    </w:p>
    <w:p w:rsidR="009A1672" w:rsidRDefault="001325D8">
      <w:pPr>
        <w:rPr>
          <w:rFonts w:ascii="gobCL" w:eastAsia="gobCL" w:hAnsi="gobCL" w:cs="gobCL"/>
          <w:b/>
          <w:sz w:val="20"/>
          <w:szCs w:val="20"/>
        </w:rPr>
      </w:pPr>
      <w:r>
        <w:rPr>
          <w:rFonts w:ascii="gobCL" w:eastAsia="gobCL" w:hAnsi="gobCL" w:cs="gobCL"/>
          <w:b/>
          <w:sz w:val="20"/>
          <w:szCs w:val="20"/>
        </w:rPr>
        <w:t>EDIOS DE</w:t>
      </w:r>
      <w:r>
        <w:rPr>
          <w:rFonts w:ascii="gobCL" w:eastAsia="gobCL" w:hAnsi="gobCL" w:cs="gobCL"/>
          <w:b/>
          <w:sz w:val="20"/>
          <w:szCs w:val="20"/>
        </w:rPr>
        <w:t xml:space="preserve"> VERIFICACIÓN DEL CUMPLIMIENTO DE LOS REQUISITOS DE FORMALIZACIÓN</w:t>
      </w: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A1672">
        <w:tc>
          <w:tcPr>
            <w:tcW w:w="0" w:type="auto"/>
            <w:shd w:val="clear" w:color="auto" w:fill="D9D9D9"/>
          </w:tcPr>
          <w:p w:rsidR="009A1672" w:rsidRDefault="001325D8">
            <w:pPr>
              <w:jc w:val="center"/>
              <w:rPr>
                <w:rFonts w:ascii="gobCL" w:eastAsia="gobCL" w:hAnsi="gobCL" w:cs="gobCL"/>
                <w:b/>
              </w:rPr>
            </w:pPr>
            <w:r>
              <w:rPr>
                <w:rFonts w:ascii="gobCL" w:eastAsia="gobCL" w:hAnsi="gobCL" w:cs="gobCL"/>
                <w:b/>
              </w:rPr>
              <w:t xml:space="preserve"> Requisito</w:t>
            </w:r>
          </w:p>
        </w:tc>
        <w:tc>
          <w:tcPr>
            <w:tcW w:w="0" w:type="auto"/>
            <w:shd w:val="clear" w:color="auto" w:fill="D9D9D9"/>
          </w:tcPr>
          <w:p w:rsidR="009A1672" w:rsidRDefault="001325D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9A1672">
        <w:tc>
          <w:tcPr>
            <w:tcW w:w="0" w:type="auto"/>
          </w:tcPr>
          <w:p w:rsidR="009A1672" w:rsidRDefault="001325D8">
            <w:pPr>
              <w:jc w:val="both"/>
              <w:rPr>
                <w:rFonts w:ascii="gobCL" w:eastAsia="gobCL" w:hAnsi="gobCL" w:cs="gobCL"/>
              </w:rPr>
            </w:pPr>
            <w:r>
              <w:rPr>
                <w:rFonts w:ascii="gobCL" w:eastAsia="gobCL" w:hAnsi="gobCL" w:cs="gobCL"/>
              </w:rPr>
              <w:t>Tener domicilio comercial o personal, según corresponda, en la región de la presente convocatoria.</w:t>
            </w:r>
          </w:p>
        </w:tc>
        <w:tc>
          <w:tcPr>
            <w:tcW w:w="0" w:type="auto"/>
          </w:tcPr>
          <w:p w:rsidR="009A1672" w:rsidRDefault="001325D8">
            <w:pPr>
              <w:ind w:left="25"/>
              <w:jc w:val="both"/>
              <w:rPr>
                <w:rFonts w:ascii="gobCL" w:eastAsia="gobCL" w:hAnsi="gobCL" w:cs="gobCL"/>
              </w:rPr>
            </w:pPr>
            <w:r>
              <w:rPr>
                <w:rFonts w:ascii="gobCL" w:eastAsia="gobCL" w:hAnsi="gobCL" w:cs="gobCL"/>
              </w:rPr>
              <w:t>Carpeta tributaria para solicitar créditos o domicilio particular según antecedentes de registro Sercotec, según corresponda.</w:t>
            </w:r>
          </w:p>
        </w:tc>
      </w:tr>
      <w:tr w:rsidR="009A1672">
        <w:tc>
          <w:tcPr>
            <w:tcW w:w="0" w:type="auto"/>
          </w:tcPr>
          <w:p w:rsidR="009A1672" w:rsidRDefault="001325D8">
            <w:pPr>
              <w:jc w:val="both"/>
              <w:rPr>
                <w:rFonts w:ascii="gobCL" w:eastAsia="gobCL" w:hAnsi="gobCL" w:cs="gobCL"/>
              </w:rPr>
            </w:pPr>
            <w:r>
              <w:rPr>
                <w:rFonts w:ascii="gobCL" w:eastAsia="gobCL" w:hAnsi="gobCL" w:cs="gobCL"/>
              </w:rPr>
              <w:t>Suscripción de Declaración Jurada de Probidad según el 2.2. de las bases</w:t>
            </w:r>
          </w:p>
        </w:tc>
        <w:tc>
          <w:tcPr>
            <w:tcW w:w="0" w:type="auto"/>
          </w:tcPr>
          <w:p w:rsidR="009A1672" w:rsidRDefault="001325D8">
            <w:pPr>
              <w:ind w:left="25"/>
              <w:jc w:val="both"/>
              <w:rPr>
                <w:rFonts w:ascii="gobCL" w:eastAsia="gobCL" w:hAnsi="gobCL" w:cs="gobCL"/>
              </w:rPr>
            </w:pPr>
            <w:r>
              <w:rPr>
                <w:rFonts w:ascii="gobCL" w:eastAsia="gobCL" w:hAnsi="gobCL" w:cs="gobCL"/>
              </w:rPr>
              <w:t xml:space="preserve">Declaración Jurada de Probidad según formato Anexo N°3. </w:t>
            </w:r>
          </w:p>
        </w:tc>
      </w:tr>
      <w:tr w:rsidR="009A1672">
        <w:tc>
          <w:tcPr>
            <w:tcW w:w="0" w:type="auto"/>
          </w:tcPr>
          <w:p w:rsidR="009A1672" w:rsidRDefault="001325D8">
            <w:pPr>
              <w:jc w:val="both"/>
              <w:rPr>
                <w:rFonts w:ascii="gobCL" w:eastAsia="gobCL" w:hAnsi="gobCL" w:cs="gobCL"/>
              </w:rPr>
            </w:pPr>
            <w:r>
              <w:rPr>
                <w:rFonts w:ascii="gobCL" w:eastAsia="gobCL" w:hAnsi="gobCL" w:cs="gobCL"/>
                <w:color w:val="000000"/>
              </w:rPr>
              <w:t>Suscripción de la Declaración Jurada de no duplicidad de los gastos, disponible en el Anexo N°4.</w:t>
            </w:r>
          </w:p>
        </w:tc>
        <w:tc>
          <w:tcPr>
            <w:tcW w:w="0" w:type="auto"/>
          </w:tcPr>
          <w:p w:rsidR="009A1672" w:rsidRDefault="001325D8">
            <w:pPr>
              <w:ind w:left="25"/>
              <w:jc w:val="both"/>
              <w:rPr>
                <w:rFonts w:ascii="gobCL" w:eastAsia="gobCL" w:hAnsi="gobCL" w:cs="gobCL"/>
              </w:rPr>
            </w:pPr>
            <w:r>
              <w:rPr>
                <w:rFonts w:ascii="gobCL" w:eastAsia="gobCL" w:hAnsi="gobCL" w:cs="gobCL"/>
              </w:rPr>
              <w:t>Declaración Jurada de no duplicidad de gastos según formato Anexo N°4.</w:t>
            </w:r>
          </w:p>
        </w:tc>
      </w:tr>
      <w:tr w:rsidR="009A1672">
        <w:tc>
          <w:tcPr>
            <w:tcW w:w="0" w:type="auto"/>
          </w:tcPr>
          <w:p w:rsidR="009A1672" w:rsidRDefault="001325D8">
            <w:pPr>
              <w:jc w:val="both"/>
              <w:rPr>
                <w:rFonts w:ascii="gobCL" w:eastAsia="gobCL" w:hAnsi="gobCL" w:cs="gobCL"/>
                <w:color w:val="000000"/>
              </w:rPr>
            </w:pPr>
            <w:r>
              <w:rPr>
                <w:rFonts w:ascii="gobCL" w:eastAsia="gobCL" w:hAnsi="gobCL" w:cs="gobCL"/>
                <w:color w:val="000000"/>
              </w:rPr>
              <w:t>Suscripción de la Declaración jurada de pertenencia a los giros focalizados</w:t>
            </w:r>
          </w:p>
        </w:tc>
        <w:tc>
          <w:tcPr>
            <w:tcW w:w="0" w:type="auto"/>
          </w:tcPr>
          <w:p w:rsidR="009A1672" w:rsidRDefault="001325D8">
            <w:pPr>
              <w:ind w:left="25"/>
              <w:jc w:val="both"/>
              <w:rPr>
                <w:rFonts w:ascii="gobCL" w:eastAsia="gobCL" w:hAnsi="gobCL" w:cs="gobCL"/>
              </w:rPr>
            </w:pPr>
            <w:r>
              <w:rPr>
                <w:rFonts w:ascii="gobCL" w:eastAsia="gobCL" w:hAnsi="gobCL" w:cs="gobCL"/>
              </w:rPr>
              <w:t>Declaraci</w:t>
            </w:r>
            <w:r>
              <w:rPr>
                <w:rFonts w:ascii="gobCL" w:eastAsia="gobCL" w:hAnsi="gobCL" w:cs="gobCL"/>
              </w:rPr>
              <w:t>ón jurada de pertenencia a los giros focalizados Anexo N° 5.</w:t>
            </w:r>
          </w:p>
        </w:tc>
      </w:tr>
    </w:tbl>
    <w:p w:rsidR="009A1672" w:rsidRDefault="009A1672">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9A1672">
        <w:tc>
          <w:tcPr>
            <w:tcW w:w="0" w:type="auto"/>
            <w:shd w:val="clear" w:color="auto" w:fill="D9D9D9"/>
          </w:tcPr>
          <w:p w:rsidR="009A1672" w:rsidRDefault="001325D8">
            <w:pPr>
              <w:rPr>
                <w:rFonts w:ascii="gobCL" w:eastAsia="gobCL" w:hAnsi="gobCL" w:cs="gobCL"/>
                <w:b/>
              </w:rPr>
            </w:pPr>
            <w:r>
              <w:rPr>
                <w:rFonts w:ascii="gobCL" w:eastAsia="gobCL" w:hAnsi="gobCL" w:cs="gobCL"/>
                <w:b/>
              </w:rPr>
              <w:t>Sólo para el caso de personas naturales o jurídicas con inicio de actividades en primera categoría:</w:t>
            </w:r>
          </w:p>
        </w:tc>
      </w:tr>
    </w:tbl>
    <w:p w:rsidR="009A1672" w:rsidRDefault="009A1672">
      <w:pPr>
        <w:widowControl w:val="0"/>
        <w:pBdr>
          <w:top w:val="nil"/>
          <w:left w:val="nil"/>
          <w:bottom w:val="nil"/>
          <w:right w:val="nil"/>
          <w:between w:val="nil"/>
        </w:pBdr>
        <w:spacing w:after="0" w:line="276" w:lineRule="auto"/>
        <w:rPr>
          <w:rFonts w:ascii="gobCL" w:eastAsia="gobCL" w:hAnsi="gobCL" w:cs="gobCL"/>
          <w:b/>
        </w:rPr>
      </w:pP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A1672">
        <w:trPr>
          <w:trHeight w:val="608"/>
        </w:trPr>
        <w:tc>
          <w:tcPr>
            <w:tcW w:w="0" w:type="auto"/>
          </w:tcPr>
          <w:p w:rsidR="009A1672" w:rsidRDefault="001325D8">
            <w:pPr>
              <w:jc w:val="both"/>
              <w:rPr>
                <w:rFonts w:ascii="gobCL" w:eastAsia="gobCL" w:hAnsi="gobCL" w:cs="gobCL"/>
              </w:rPr>
            </w:pPr>
            <w:r>
              <w:rPr>
                <w:rFonts w:ascii="gobCL" w:eastAsia="gobCL" w:hAnsi="gobCL" w:cs="gobCL"/>
              </w:rPr>
              <w:t>En caso de ser persona jurídica, la empresa deberá estar legalmente constituida.</w:t>
            </w:r>
          </w:p>
        </w:tc>
        <w:tc>
          <w:tcPr>
            <w:tcW w:w="0" w:type="auto"/>
          </w:tcPr>
          <w:p w:rsidR="009A1672" w:rsidRDefault="001325D8">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9A1672">
        <w:tc>
          <w:tcPr>
            <w:tcW w:w="0" w:type="auto"/>
          </w:tcPr>
          <w:p w:rsidR="009A1672" w:rsidRDefault="001325D8">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0" w:type="auto"/>
          </w:tcPr>
          <w:p w:rsidR="009A1672" w:rsidRDefault="001325D8">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9A1672">
        <w:tc>
          <w:tcPr>
            <w:tcW w:w="0" w:type="auto"/>
          </w:tcPr>
          <w:p w:rsidR="009A1672" w:rsidRDefault="001325D8">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0" w:type="auto"/>
          </w:tcPr>
          <w:p w:rsidR="009A1672" w:rsidRDefault="001325D8">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9A1672">
        <w:tc>
          <w:tcPr>
            <w:tcW w:w="0" w:type="auto"/>
          </w:tcPr>
          <w:p w:rsidR="009A1672" w:rsidRDefault="001325D8">
            <w:pPr>
              <w:jc w:val="both"/>
              <w:rPr>
                <w:rFonts w:ascii="gobCL" w:eastAsia="gobCL" w:hAnsi="gobCL" w:cs="gobCL"/>
              </w:rPr>
            </w:pPr>
            <w:r>
              <w:rPr>
                <w:rFonts w:ascii="gobCL" w:eastAsia="gobCL" w:hAnsi="gobCL" w:cs="gobCL"/>
              </w:rPr>
              <w:t>Suscripción de Declaración jurada de No Consanguinidad en la rendición de gastos.</w:t>
            </w:r>
          </w:p>
        </w:tc>
        <w:tc>
          <w:tcPr>
            <w:tcW w:w="0" w:type="auto"/>
          </w:tcPr>
          <w:p w:rsidR="009A1672" w:rsidRDefault="001325D8">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9A1672">
        <w:tc>
          <w:tcPr>
            <w:tcW w:w="0" w:type="auto"/>
          </w:tcPr>
          <w:p w:rsidR="009A1672" w:rsidRDefault="001325D8">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0" w:type="auto"/>
          </w:tcPr>
          <w:p w:rsidR="009A1672" w:rsidRDefault="001325D8">
            <w:pPr>
              <w:ind w:left="25"/>
              <w:jc w:val="both"/>
              <w:rPr>
                <w:rFonts w:ascii="gobCL" w:eastAsia="gobCL" w:hAnsi="gobCL" w:cs="gobCL"/>
              </w:rPr>
            </w:pPr>
            <w:r>
              <w:rPr>
                <w:rFonts w:ascii="gobCL" w:eastAsia="gobCL" w:hAnsi="gobCL" w:cs="gobCL"/>
              </w:rPr>
              <w:t>Requisito validado por Sercotec para el RUT de la empresa postulante.</w:t>
            </w:r>
          </w:p>
        </w:tc>
      </w:tr>
      <w:tr w:rsidR="009A1672">
        <w:tc>
          <w:tcPr>
            <w:tcW w:w="0" w:type="auto"/>
          </w:tcPr>
          <w:p w:rsidR="009A1672" w:rsidRDefault="001325D8">
            <w:pPr>
              <w:jc w:val="both"/>
              <w:rPr>
                <w:rFonts w:ascii="gobCL" w:eastAsia="gobCL" w:hAnsi="gobCL" w:cs="gobCL"/>
              </w:rPr>
            </w:pPr>
            <w:r>
              <w:rPr>
                <w:rFonts w:ascii="gobCL" w:eastAsia="gobCL" w:hAnsi="gobCL" w:cs="gobCL"/>
              </w:rPr>
              <w:t>No haber sido beneficiario de las convocatorias Reactíva</w:t>
            </w:r>
            <w:r>
              <w:rPr>
                <w:rFonts w:ascii="gobCL" w:eastAsia="gobCL" w:hAnsi="gobCL" w:cs="gobCL"/>
              </w:rPr>
              <w:t>te 2021 (cualquier fuente de financiamiento).</w:t>
            </w:r>
          </w:p>
        </w:tc>
        <w:tc>
          <w:tcPr>
            <w:tcW w:w="0" w:type="auto"/>
          </w:tcPr>
          <w:p w:rsidR="009A1672" w:rsidRDefault="001325D8">
            <w:pPr>
              <w:ind w:left="25"/>
              <w:jc w:val="both"/>
              <w:rPr>
                <w:rFonts w:ascii="gobCL" w:eastAsia="gobCL" w:hAnsi="gobCL" w:cs="gobCL"/>
              </w:rPr>
            </w:pPr>
            <w:r>
              <w:rPr>
                <w:rFonts w:ascii="gobCL" w:eastAsia="gobCL" w:hAnsi="gobCL" w:cs="gobCL"/>
              </w:rPr>
              <w:t>Requisito validado por Sercotec para el RUT de la empresa postulante.</w:t>
            </w:r>
          </w:p>
        </w:tc>
      </w:tr>
      <w:tr w:rsidR="009A1672">
        <w:tc>
          <w:tcPr>
            <w:tcW w:w="0" w:type="auto"/>
          </w:tcPr>
          <w:p w:rsidR="009A1672" w:rsidRDefault="001325D8">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w:t>
            </w:r>
            <w:r>
              <w:rPr>
                <w:rFonts w:ascii="gobCL" w:eastAsia="gobCL" w:hAnsi="gobCL" w:cs="gobCL"/>
              </w:rPr>
              <w:t>ntes condiciones: ser propietaria, usufructuaria, comodataria, arrendataria; o en general, acreditar cualquier otro antecedente en que el titular del derecho de dominio o quien tenga facultad de realizarlo (por ejemplo, organismo público encargado de entre</w:t>
            </w:r>
            <w:r>
              <w:rPr>
                <w:rFonts w:ascii="gobCL" w:eastAsia="gobCL" w:hAnsi="gobCL" w:cs="gobCL"/>
              </w:rPr>
              <w:t>gar la respectiva concesión) ceda el uso a la empresa.</w:t>
            </w:r>
          </w:p>
        </w:tc>
        <w:tc>
          <w:tcPr>
            <w:tcW w:w="0" w:type="auto"/>
          </w:tcPr>
          <w:p w:rsidR="009A1672" w:rsidRDefault="001325D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w:t>
            </w:r>
            <w:r>
              <w:rPr>
                <w:rFonts w:ascii="gobCL" w:eastAsia="gobCL" w:hAnsi="gobCL" w:cs="gobCL"/>
              </w:rPr>
              <w:t>d, al momento de la postulación.</w:t>
            </w:r>
          </w:p>
          <w:p w:rsidR="009A1672" w:rsidRDefault="001325D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w:t>
            </w:r>
            <w:r>
              <w:rPr>
                <w:rFonts w:ascii="gobCL" w:eastAsia="gobCL" w:hAnsi="gobCL" w:cs="gobCL"/>
              </w:rPr>
              <w:t xml:space="preserve"> la postulación.</w:t>
            </w:r>
          </w:p>
          <w:p w:rsidR="009A1672" w:rsidRDefault="001325D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9A1672" w:rsidRDefault="001325D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9A1672" w:rsidRDefault="001325D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w:t>
            </w:r>
            <w:r>
              <w:rPr>
                <w:rFonts w:ascii="gobCL" w:eastAsia="gobCL" w:hAnsi="gobCL" w:cs="gobCL"/>
              </w:rPr>
              <w:t>n notarial del propietario del inmueble, decreto de concesión, entre otros.</w:t>
            </w:r>
          </w:p>
          <w:p w:rsidR="009A1672" w:rsidRDefault="001325D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w:t>
            </w:r>
            <w:r>
              <w:rPr>
                <w:rFonts w:ascii="gobCL" w:eastAsia="gobCL" w:hAnsi="gobCL" w:cs="gobCL"/>
              </w:rPr>
              <w:t>acer una declaración jurada notarial autorizando el uso del inmueble social. Además, se deberá acompañar copia de la inscripción con vigencia de propiedad y certificado de matrimonio y/o unión civil.</w:t>
            </w:r>
          </w:p>
        </w:tc>
      </w:tr>
    </w:tbl>
    <w:p w:rsidR="009A1672" w:rsidRDefault="009A1672"/>
    <w:p w:rsidR="009A1672" w:rsidRDefault="009A1672">
      <w:pPr>
        <w:rPr>
          <w:rFonts w:ascii="gobCL" w:eastAsia="gobCL" w:hAnsi="gobCL" w:cs="gobCL"/>
          <w:b/>
          <w:color w:val="000000"/>
          <w:sz w:val="20"/>
          <w:szCs w:val="20"/>
        </w:rPr>
      </w:pPr>
    </w:p>
    <w:p w:rsidR="009A1672" w:rsidRDefault="001325D8">
      <w:pPr>
        <w:rPr>
          <w:rFonts w:ascii="gobCL" w:eastAsia="gobCL" w:hAnsi="gobCL" w:cs="gobCL"/>
          <w:b/>
          <w:color w:val="000000"/>
          <w:sz w:val="20"/>
          <w:szCs w:val="20"/>
        </w:rPr>
      </w:pPr>
      <w:r>
        <w:br w:type="page"/>
      </w:r>
    </w:p>
    <w:p w:rsidR="009A1672" w:rsidRDefault="001325D8">
      <w:pPr>
        <w:jc w:val="center"/>
        <w:rPr>
          <w:rFonts w:ascii="gobCL" w:eastAsia="gobCL" w:hAnsi="gobCL" w:cs="gobCL"/>
          <w:b/>
          <w:color w:val="000000"/>
          <w:sz w:val="20"/>
          <w:szCs w:val="20"/>
        </w:rPr>
      </w:pPr>
      <w:r>
        <w:rPr>
          <w:rFonts w:ascii="gobCL" w:eastAsia="gobCL" w:hAnsi="gobCL" w:cs="gobCL"/>
          <w:b/>
          <w:color w:val="000000"/>
          <w:sz w:val="20"/>
          <w:szCs w:val="20"/>
        </w:rPr>
        <w:t>ANEXO N°2</w:t>
      </w:r>
    </w:p>
    <w:p w:rsidR="009A1672" w:rsidRDefault="009A167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9A1672" w:rsidRDefault="001325D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w:t>
      </w:r>
      <w:r>
        <w:rPr>
          <w:rFonts w:ascii="gobCL" w:eastAsia="gobCL" w:hAnsi="gobCL" w:cs="gobCL"/>
          <w:b/>
          <w:color w:val="000000"/>
          <w:sz w:val="20"/>
          <w:szCs w:val="20"/>
        </w:rPr>
        <w:t>INEIDAD</w:t>
      </w:r>
    </w:p>
    <w:p w:rsidR="009A1672" w:rsidRDefault="001325D8">
      <w:pPr>
        <w:jc w:val="center"/>
        <w:rPr>
          <w:rFonts w:ascii="gobCL" w:eastAsia="gobCL" w:hAnsi="gobCL" w:cs="gobCL"/>
          <w:b/>
          <w:sz w:val="20"/>
          <w:szCs w:val="20"/>
        </w:rPr>
      </w:pPr>
      <w:r>
        <w:rPr>
          <w:rFonts w:ascii="gobCL" w:eastAsia="gobCL" w:hAnsi="gobCL" w:cs="gobCL"/>
          <w:b/>
          <w:sz w:val="20"/>
          <w:szCs w:val="20"/>
        </w:rPr>
        <w:t>EN LA RENDICIÓN DE LOS GASTOS</w:t>
      </w:r>
    </w:p>
    <w:p w:rsidR="009A1672" w:rsidRDefault="001325D8">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9A1672" w:rsidRDefault="001325D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w:t>
      </w:r>
      <w:r>
        <w:rPr>
          <w:rFonts w:ascii="gobCL" w:eastAsia="gobCL" w:hAnsi="gobCL" w:cs="gobCL"/>
          <w:sz w:val="20"/>
          <w:szCs w:val="20"/>
        </w:rPr>
        <w:t>nos).</w:t>
      </w:r>
    </w:p>
    <w:p w:rsidR="009A1672" w:rsidRDefault="001325D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w:t>
      </w:r>
      <w:r>
        <w:rPr>
          <w:rFonts w:ascii="gobCL" w:eastAsia="gobCL" w:hAnsi="gobCL" w:cs="gobCL"/>
          <w:sz w:val="20"/>
          <w:szCs w:val="20"/>
        </w:rPr>
        <w:t xml:space="preserve"> consanguineidad y afinidad hasta segundo grado inclusive (por ejemplo, hijos, padre, madre y hermanos).</w:t>
      </w:r>
    </w:p>
    <w:p w:rsidR="009A1672" w:rsidRDefault="001325D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w:t>
      </w:r>
      <w:r>
        <w:rPr>
          <w:rFonts w:ascii="gobCL" w:eastAsia="gobCL" w:hAnsi="gobCL" w:cs="gobCL"/>
          <w:sz w:val="20"/>
          <w:szCs w:val="20"/>
        </w:rPr>
        <w:t>ge, conviviente civil, hijos y parientes por consanguineidad y afinidad hasta el segundo grado inclusive (por ejemplo, hijos, padres, abuelos y hermanos).</w:t>
      </w:r>
    </w:p>
    <w:p w:rsidR="009A1672" w:rsidRDefault="001325D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w:t>
      </w:r>
      <w:r>
        <w:rPr>
          <w:rFonts w:ascii="gobCL" w:eastAsia="gobCL" w:hAnsi="gobCL" w:cs="gobCL"/>
          <w:sz w:val="20"/>
          <w:szCs w:val="20"/>
        </w:rPr>
        <w:t xml:space="preserve">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w:t>
      </w:r>
      <w:r>
        <w:rPr>
          <w:rFonts w:ascii="gobCL" w:eastAsia="gobCL" w:hAnsi="gobCL" w:cs="gobCL"/>
          <w:sz w:val="20"/>
          <w:szCs w:val="20"/>
        </w:rPr>
        <w:t>idad hasta el segundo grado inclusive (por ejemplo, hijos, padres, abuelos y hermanos).</w:t>
      </w:r>
    </w:p>
    <w:p w:rsidR="009A1672" w:rsidRDefault="001325D8">
      <w:pPr>
        <w:numPr>
          <w:ilvl w:val="0"/>
          <w:numId w:val="7"/>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w:t>
      </w:r>
      <w:r>
        <w:rPr>
          <w:rFonts w:ascii="gobCL" w:eastAsia="gobCL" w:hAnsi="gobCL" w:cs="gobCL"/>
          <w:sz w:val="20"/>
          <w:szCs w:val="20"/>
        </w:rPr>
        <w:t xml:space="preserve">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9A1672" w:rsidRDefault="001325D8">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3"/>
        <w:tblW w:w="3997" w:type="dxa"/>
        <w:tblInd w:w="2479" w:type="dxa"/>
        <w:tblLayout w:type="fixed"/>
        <w:tblLook w:val="0000" w:firstRow="0" w:lastRow="0" w:firstColumn="0" w:lastColumn="0" w:noHBand="0" w:noVBand="0"/>
      </w:tblPr>
      <w:tblGrid>
        <w:gridCol w:w="540"/>
        <w:gridCol w:w="626"/>
        <w:gridCol w:w="2831"/>
      </w:tblGrid>
      <w:tr w:rsidR="009A1672">
        <w:tc>
          <w:tcPr>
            <w:tcW w:w="0" w:type="auto"/>
          </w:tcPr>
          <w:p w:rsidR="009A1672" w:rsidRDefault="009A1672">
            <w:pPr>
              <w:spacing w:after="200" w:line="276" w:lineRule="auto"/>
              <w:rPr>
                <w:rFonts w:ascii="gobCL" w:eastAsia="gobCL" w:hAnsi="gobCL" w:cs="gobCL"/>
              </w:rPr>
            </w:pPr>
          </w:p>
        </w:tc>
        <w:tc>
          <w:tcPr>
            <w:tcW w:w="0" w:type="auto"/>
          </w:tcPr>
          <w:p w:rsidR="009A1672" w:rsidRDefault="009A1672">
            <w:pPr>
              <w:spacing w:after="200" w:line="276" w:lineRule="auto"/>
              <w:rPr>
                <w:rFonts w:ascii="gobCL" w:eastAsia="gobCL" w:hAnsi="gobCL" w:cs="gobCL"/>
              </w:rPr>
            </w:pPr>
          </w:p>
        </w:tc>
        <w:tc>
          <w:tcPr>
            <w:tcW w:w="0" w:type="auto"/>
            <w:tcBorders>
              <w:top w:val="single" w:sz="4" w:space="0" w:color="000000"/>
              <w:left w:val="nil"/>
              <w:bottom w:val="nil"/>
              <w:right w:val="nil"/>
            </w:tcBorders>
          </w:tcPr>
          <w:p w:rsidR="009A1672" w:rsidRDefault="009A1672">
            <w:pPr>
              <w:spacing w:after="200" w:line="276" w:lineRule="auto"/>
              <w:rPr>
                <w:rFonts w:ascii="gobCL" w:eastAsia="gobCL" w:hAnsi="gobCL" w:cs="gobCL"/>
              </w:rPr>
            </w:pPr>
          </w:p>
        </w:tc>
      </w:tr>
      <w:tr w:rsidR="009A1672">
        <w:tc>
          <w:tcPr>
            <w:tcW w:w="0" w:type="auto"/>
          </w:tcPr>
          <w:p w:rsidR="009A1672" w:rsidRDefault="009A1672">
            <w:pPr>
              <w:spacing w:after="200" w:line="276" w:lineRule="auto"/>
              <w:rPr>
                <w:rFonts w:ascii="gobCL" w:eastAsia="gobCL" w:hAnsi="gobCL" w:cs="gobCL"/>
              </w:rPr>
            </w:pPr>
          </w:p>
        </w:tc>
        <w:tc>
          <w:tcPr>
            <w:tcW w:w="0" w:type="auto"/>
          </w:tcPr>
          <w:p w:rsidR="009A1672" w:rsidRDefault="009A1672">
            <w:pPr>
              <w:spacing w:after="200" w:line="276" w:lineRule="auto"/>
              <w:rPr>
                <w:rFonts w:ascii="gobCL" w:eastAsia="gobCL" w:hAnsi="gobCL" w:cs="gobCL"/>
              </w:rPr>
            </w:pPr>
          </w:p>
        </w:tc>
        <w:tc>
          <w:tcPr>
            <w:tcW w:w="0" w:type="auto"/>
          </w:tcPr>
          <w:p w:rsidR="009A1672" w:rsidRDefault="001325D8">
            <w:pPr>
              <w:rPr>
                <w:rFonts w:ascii="gobCL" w:eastAsia="gobCL" w:hAnsi="gobCL" w:cs="gobCL"/>
                <w:b/>
              </w:rPr>
            </w:pPr>
            <w:r>
              <w:rPr>
                <w:rFonts w:ascii="gobCL" w:eastAsia="gobCL" w:hAnsi="gobCL" w:cs="gobCL"/>
                <w:b/>
              </w:rPr>
              <w:t xml:space="preserve">Nombre y Firma </w:t>
            </w:r>
          </w:p>
          <w:p w:rsidR="009A1672" w:rsidRDefault="001325D8">
            <w:pPr>
              <w:spacing w:after="200" w:line="276" w:lineRule="auto"/>
              <w:rPr>
                <w:rFonts w:ascii="gobCL" w:eastAsia="gobCL" w:hAnsi="gobCL" w:cs="gobCL"/>
              </w:rPr>
            </w:pPr>
            <w:r>
              <w:rPr>
                <w:rFonts w:ascii="gobCL" w:eastAsia="gobCL" w:hAnsi="gobCL" w:cs="gobCL"/>
                <w:b/>
              </w:rPr>
              <w:t>RUT</w:t>
            </w:r>
          </w:p>
        </w:tc>
      </w:tr>
    </w:tbl>
    <w:p w:rsidR="009A1672" w:rsidRDefault="009A1672">
      <w:pPr>
        <w:jc w:val="center"/>
        <w:rPr>
          <w:rFonts w:ascii="gobCL" w:eastAsia="gobCL" w:hAnsi="gobCL" w:cs="gobCL"/>
          <w:b/>
          <w:sz w:val="20"/>
          <w:szCs w:val="20"/>
        </w:rPr>
      </w:pPr>
    </w:p>
    <w:p w:rsidR="009A1672" w:rsidRDefault="001325D8">
      <w:pPr>
        <w:jc w:val="center"/>
        <w:rPr>
          <w:rFonts w:ascii="gobCL" w:eastAsia="gobCL" w:hAnsi="gobCL" w:cs="gobCL"/>
          <w:b/>
          <w:sz w:val="20"/>
          <w:szCs w:val="20"/>
        </w:rPr>
      </w:pPr>
      <w:r>
        <w:br w:type="page"/>
      </w:r>
      <w:r>
        <w:rPr>
          <w:rFonts w:ascii="gobCL" w:eastAsia="gobCL" w:hAnsi="gobCL" w:cs="gobCL"/>
          <w:b/>
          <w:sz w:val="20"/>
          <w:szCs w:val="20"/>
        </w:rPr>
        <w:t>ANEXO N° 3</w:t>
      </w:r>
    </w:p>
    <w:p w:rsidR="009A1672" w:rsidRDefault="001325D8">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f4"/>
        <w:tblW w:w="8337" w:type="dxa"/>
        <w:tblInd w:w="0" w:type="dxa"/>
        <w:tblLayout w:type="fixed"/>
        <w:tblLook w:val="0400" w:firstRow="0" w:lastRow="0" w:firstColumn="0" w:lastColumn="0" w:noHBand="0" w:noVBand="1"/>
      </w:tblPr>
      <w:tblGrid>
        <w:gridCol w:w="8337"/>
      </w:tblGrid>
      <w:tr w:rsidR="009A1672">
        <w:trPr>
          <w:trHeight w:val="8127"/>
        </w:trPr>
        <w:tc>
          <w:tcPr>
            <w:tcW w:w="0" w:type="auto"/>
            <w:shd w:val="clear" w:color="auto" w:fill="auto"/>
          </w:tcPr>
          <w:p w:rsidR="009A1672" w:rsidRDefault="001325D8">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9A1672" w:rsidRDefault="001325D8">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Especial para la industria de la belleza, ni encontrarme en las condic</w:t>
            </w:r>
            <w:r>
              <w:rPr>
                <w:rFonts w:ascii="gobCL" w:eastAsia="gobCL" w:hAnsi="gobCL" w:cs="gobCL"/>
              </w:rPr>
              <w:t>iones señaladas por las Bases en el punto 2.2, tales como tener contrato vigente, incluso a honorarios, con Sercotec, o el Agente Operador a cargo de la convocatoria, o quienes participen en la asignación de recursos, ni ser cónyuge, conviviente civil o pa</w:t>
            </w:r>
            <w:r>
              <w:rPr>
                <w:rFonts w:ascii="gobCL" w:eastAsia="gobCL" w:hAnsi="gobCL" w:cs="gobCL"/>
              </w:rPr>
              <w:t xml:space="preserve">riente hasta el tercer grado de consanguineidad y segundo de afinidad inclusive con el personal directivo de Sercotec, el personal del Agente Operador a cargo de la convocatoria o quienes participen en la asignación de recursos, incluido el personal de la </w:t>
            </w:r>
            <w:r>
              <w:rPr>
                <w:rFonts w:ascii="gobCL" w:eastAsia="gobCL" w:hAnsi="gobCL" w:cs="gobCL"/>
              </w:rPr>
              <w:t>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9A1672" w:rsidRDefault="009A1672">
            <w:pPr>
              <w:spacing w:before="240" w:after="240"/>
              <w:jc w:val="both"/>
              <w:rPr>
                <w:rFonts w:ascii="gobCL" w:eastAsia="gobCL" w:hAnsi="gobCL" w:cs="gobCL"/>
              </w:rPr>
            </w:pPr>
          </w:p>
          <w:p w:rsidR="009A1672" w:rsidRDefault="009A1672">
            <w:pPr>
              <w:spacing w:before="240" w:after="240"/>
              <w:jc w:val="both"/>
              <w:rPr>
                <w:rFonts w:ascii="gobCL" w:eastAsia="gobCL" w:hAnsi="gobCL" w:cs="gobCL"/>
              </w:rPr>
            </w:pPr>
          </w:p>
          <w:p w:rsidR="009A1672" w:rsidRDefault="009A1672">
            <w:pPr>
              <w:pBdr>
                <w:bottom w:val="single" w:sz="12" w:space="1" w:color="000000"/>
              </w:pBdr>
              <w:spacing w:before="240" w:after="240"/>
              <w:jc w:val="both"/>
              <w:rPr>
                <w:rFonts w:ascii="gobCL" w:eastAsia="gobCL" w:hAnsi="gobCL" w:cs="gobCL"/>
              </w:rPr>
            </w:pPr>
          </w:p>
          <w:p w:rsidR="009A1672" w:rsidRDefault="001325D8">
            <w:pPr>
              <w:spacing w:before="240" w:after="240"/>
              <w:jc w:val="both"/>
              <w:rPr>
                <w:rFonts w:ascii="gobCL" w:eastAsia="gobCL" w:hAnsi="gobCL" w:cs="gobCL"/>
              </w:rPr>
            </w:pPr>
            <w:r>
              <w:rPr>
                <w:rFonts w:ascii="gobCL" w:eastAsia="gobCL" w:hAnsi="gobCL" w:cs="gobCL"/>
              </w:rPr>
              <w:t>Beneficiario/a:</w:t>
            </w:r>
          </w:p>
          <w:p w:rsidR="009A1672" w:rsidRDefault="009A1672">
            <w:pPr>
              <w:spacing w:before="240" w:after="240"/>
              <w:jc w:val="both"/>
              <w:rPr>
                <w:rFonts w:ascii="gobCL" w:eastAsia="gobCL" w:hAnsi="gobCL" w:cs="gobCL"/>
              </w:rPr>
            </w:pPr>
          </w:p>
          <w:p w:rsidR="009A1672" w:rsidRDefault="001325D8">
            <w:pPr>
              <w:spacing w:before="240" w:after="240"/>
              <w:jc w:val="both"/>
              <w:rPr>
                <w:rFonts w:ascii="gobCL" w:eastAsia="gobCL" w:hAnsi="gobCL" w:cs="gobCL"/>
              </w:rPr>
            </w:pPr>
            <w:r>
              <w:rPr>
                <w:rFonts w:ascii="gobCL" w:eastAsia="gobCL" w:hAnsi="gobCL" w:cs="gobCL"/>
              </w:rPr>
              <w:t>Sr./a:………………………………………………………………….</w:t>
            </w:r>
          </w:p>
          <w:p w:rsidR="009A1672" w:rsidRDefault="009A1672">
            <w:pPr>
              <w:spacing w:before="240" w:after="240"/>
              <w:jc w:val="both"/>
              <w:rPr>
                <w:rFonts w:ascii="gobCL" w:eastAsia="gobCL" w:hAnsi="gobCL" w:cs="gobCL"/>
              </w:rPr>
            </w:pPr>
          </w:p>
        </w:tc>
      </w:tr>
    </w:tbl>
    <w:p w:rsidR="009A1672" w:rsidRDefault="009A1672">
      <w:pPr>
        <w:rPr>
          <w:rFonts w:ascii="gobCL" w:eastAsia="gobCL" w:hAnsi="gobCL" w:cs="gobCL"/>
          <w:sz w:val="20"/>
          <w:szCs w:val="20"/>
        </w:rPr>
      </w:pPr>
    </w:p>
    <w:p w:rsidR="009A1672" w:rsidRDefault="009A1672">
      <w:pPr>
        <w:jc w:val="center"/>
        <w:rPr>
          <w:rFonts w:ascii="gobCL" w:eastAsia="gobCL" w:hAnsi="gobCL" w:cs="gobCL"/>
          <w:b/>
          <w:sz w:val="20"/>
          <w:szCs w:val="20"/>
        </w:rPr>
      </w:pPr>
    </w:p>
    <w:p w:rsidR="009A1672" w:rsidRDefault="009A1672">
      <w:pPr>
        <w:jc w:val="center"/>
        <w:rPr>
          <w:rFonts w:ascii="gobCL" w:eastAsia="gobCL" w:hAnsi="gobCL" w:cs="gobCL"/>
          <w:b/>
          <w:sz w:val="20"/>
          <w:szCs w:val="20"/>
        </w:rPr>
      </w:pPr>
    </w:p>
    <w:p w:rsidR="009A1672" w:rsidRDefault="009A1672">
      <w:pPr>
        <w:jc w:val="center"/>
        <w:rPr>
          <w:rFonts w:ascii="gobCL" w:eastAsia="gobCL" w:hAnsi="gobCL" w:cs="gobCL"/>
          <w:b/>
          <w:sz w:val="20"/>
          <w:szCs w:val="20"/>
        </w:rPr>
      </w:pPr>
    </w:p>
    <w:p w:rsidR="009A1672" w:rsidRDefault="009A1672">
      <w:pPr>
        <w:jc w:val="center"/>
        <w:rPr>
          <w:rFonts w:ascii="gobCL" w:eastAsia="gobCL" w:hAnsi="gobCL" w:cs="gobCL"/>
          <w:b/>
          <w:sz w:val="20"/>
          <w:szCs w:val="20"/>
        </w:rPr>
      </w:pPr>
    </w:p>
    <w:p w:rsidR="009A1672" w:rsidRDefault="009A1672">
      <w:pPr>
        <w:jc w:val="center"/>
        <w:rPr>
          <w:rFonts w:ascii="gobCL" w:eastAsia="gobCL" w:hAnsi="gobCL" w:cs="gobCL"/>
          <w:b/>
          <w:sz w:val="20"/>
          <w:szCs w:val="20"/>
        </w:rPr>
      </w:pPr>
    </w:p>
    <w:p w:rsidR="009A1672" w:rsidRDefault="009A1672">
      <w:pPr>
        <w:jc w:val="center"/>
        <w:rPr>
          <w:rFonts w:ascii="gobCL" w:eastAsia="gobCL" w:hAnsi="gobCL" w:cs="gobCL"/>
          <w:b/>
          <w:sz w:val="20"/>
          <w:szCs w:val="20"/>
        </w:rPr>
      </w:pPr>
    </w:p>
    <w:p w:rsidR="009A1672" w:rsidRDefault="009A1672">
      <w:pPr>
        <w:jc w:val="center"/>
        <w:rPr>
          <w:rFonts w:ascii="gobCL" w:eastAsia="gobCL" w:hAnsi="gobCL" w:cs="gobCL"/>
          <w:b/>
          <w:sz w:val="20"/>
          <w:szCs w:val="20"/>
        </w:rPr>
      </w:pPr>
    </w:p>
    <w:p w:rsidR="009A1672" w:rsidRDefault="001325D8">
      <w:pPr>
        <w:jc w:val="center"/>
        <w:rPr>
          <w:rFonts w:ascii="gobCL" w:eastAsia="gobCL" w:hAnsi="gobCL" w:cs="gobCL"/>
          <w:b/>
          <w:sz w:val="20"/>
          <w:szCs w:val="20"/>
        </w:rPr>
      </w:pPr>
      <w:r>
        <w:rPr>
          <w:rFonts w:ascii="gobCL" w:eastAsia="gobCL" w:hAnsi="gobCL" w:cs="gobCL"/>
          <w:b/>
          <w:sz w:val="20"/>
          <w:szCs w:val="20"/>
        </w:rPr>
        <w:t>ANEXO N°4</w:t>
      </w:r>
    </w:p>
    <w:p w:rsidR="009A1672" w:rsidRDefault="001325D8">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9A1672" w:rsidRDefault="009A1672">
      <w:pPr>
        <w:rPr>
          <w:rFonts w:ascii="gobCL" w:eastAsia="gobCL" w:hAnsi="gobCL" w:cs="gobCL"/>
          <w:b/>
          <w:sz w:val="20"/>
          <w:szCs w:val="20"/>
        </w:rPr>
      </w:pPr>
    </w:p>
    <w:p w:rsidR="009A1672" w:rsidRDefault="001325D8">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9A1672" w:rsidRDefault="001325D8">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w:t>
      </w:r>
      <w:r>
        <w:rPr>
          <w:rFonts w:ascii="gobCL" w:eastAsia="gobCL" w:hAnsi="gobCL" w:cs="gobCL"/>
          <w:sz w:val="20"/>
          <w:szCs w:val="20"/>
        </w:rPr>
        <w:t>o como persona natural o jurídica que represento, de un subsidio otorgado con fondos públicos.</w:t>
      </w:r>
      <w:r>
        <w:rPr>
          <w:rFonts w:ascii="gobCL" w:eastAsia="gobCL" w:hAnsi="gobCL" w:cs="gobCL"/>
          <w:sz w:val="20"/>
          <w:szCs w:val="20"/>
        </w:rPr>
        <w:tab/>
      </w:r>
    </w:p>
    <w:p w:rsidR="009A1672" w:rsidRDefault="009A1672">
      <w:pPr>
        <w:jc w:val="both"/>
        <w:rPr>
          <w:rFonts w:ascii="gobCL" w:eastAsia="gobCL" w:hAnsi="gobCL" w:cs="gobCL"/>
          <w:sz w:val="20"/>
          <w:szCs w:val="20"/>
        </w:rPr>
      </w:pPr>
    </w:p>
    <w:p w:rsidR="009A1672" w:rsidRDefault="009A1672">
      <w:pPr>
        <w:jc w:val="both"/>
        <w:rPr>
          <w:rFonts w:ascii="gobCL" w:eastAsia="gobCL" w:hAnsi="gobCL" w:cs="gobCL"/>
          <w:sz w:val="20"/>
          <w:szCs w:val="20"/>
        </w:rPr>
      </w:pPr>
    </w:p>
    <w:p w:rsidR="009A1672" w:rsidRDefault="009A1672">
      <w:pPr>
        <w:jc w:val="both"/>
        <w:rPr>
          <w:rFonts w:ascii="gobCL" w:eastAsia="gobCL" w:hAnsi="gobCL" w:cs="gobCL"/>
          <w:sz w:val="20"/>
          <w:szCs w:val="20"/>
        </w:rPr>
      </w:pPr>
    </w:p>
    <w:p w:rsidR="009A1672" w:rsidRDefault="001325D8">
      <w:pPr>
        <w:jc w:val="both"/>
        <w:rPr>
          <w:rFonts w:ascii="gobCL" w:eastAsia="gobCL" w:hAnsi="gobCL" w:cs="gobCL"/>
          <w:sz w:val="20"/>
          <w:szCs w:val="20"/>
        </w:rPr>
      </w:pPr>
      <w:r>
        <w:rPr>
          <w:rFonts w:ascii="gobCL" w:eastAsia="gobCL" w:hAnsi="gobCL" w:cs="gobCL"/>
          <w:sz w:val="20"/>
          <w:szCs w:val="20"/>
        </w:rPr>
        <w:t>Beneficiario/a:</w:t>
      </w:r>
    </w:p>
    <w:p w:rsidR="009A1672" w:rsidRDefault="001325D8">
      <w:pPr>
        <w:rPr>
          <w:rFonts w:ascii="gobCL" w:eastAsia="gobCL" w:hAnsi="gobCL" w:cs="gobCL"/>
          <w:sz w:val="20"/>
          <w:szCs w:val="20"/>
        </w:rPr>
      </w:pPr>
      <w:r>
        <w:br w:type="page"/>
      </w:r>
    </w:p>
    <w:p w:rsidR="009A1672" w:rsidRDefault="001325D8">
      <w:pPr>
        <w:jc w:val="center"/>
        <w:rPr>
          <w:rFonts w:ascii="gobCL" w:eastAsia="gobCL" w:hAnsi="gobCL" w:cs="gobCL"/>
          <w:b/>
          <w:sz w:val="20"/>
          <w:szCs w:val="20"/>
        </w:rPr>
      </w:pPr>
      <w:bookmarkStart w:id="6" w:name="_heading=h.tyjcwt" w:colFirst="0" w:colLast="0"/>
      <w:bookmarkEnd w:id="6"/>
      <w:r>
        <w:rPr>
          <w:rFonts w:ascii="gobCL" w:eastAsia="gobCL" w:hAnsi="gobCL" w:cs="gobCL"/>
          <w:b/>
          <w:sz w:val="20"/>
          <w:szCs w:val="20"/>
        </w:rPr>
        <w:t>ANEXO N° 5</w:t>
      </w:r>
    </w:p>
    <w:p w:rsidR="009A1672" w:rsidRDefault="001325D8">
      <w:pPr>
        <w:jc w:val="center"/>
        <w:rPr>
          <w:rFonts w:ascii="gobCL" w:eastAsia="gobCL" w:hAnsi="gobCL" w:cs="gobCL"/>
          <w:b/>
          <w:sz w:val="20"/>
          <w:szCs w:val="20"/>
        </w:rPr>
      </w:pPr>
      <w:r>
        <w:rPr>
          <w:rFonts w:ascii="gobCL" w:eastAsia="gobCL" w:hAnsi="gobCL" w:cs="gobCL"/>
          <w:b/>
          <w:sz w:val="20"/>
          <w:szCs w:val="20"/>
        </w:rPr>
        <w:t xml:space="preserve">DECLARACIÓN JURADA SIMPLE </w:t>
      </w:r>
    </w:p>
    <w:p w:rsidR="009A1672" w:rsidRDefault="001325D8">
      <w:pPr>
        <w:jc w:val="center"/>
        <w:rPr>
          <w:rFonts w:ascii="gobCL" w:eastAsia="gobCL" w:hAnsi="gobCL" w:cs="gobCL"/>
          <w:b/>
          <w:sz w:val="20"/>
          <w:szCs w:val="20"/>
        </w:rPr>
      </w:pPr>
      <w:r>
        <w:rPr>
          <w:rFonts w:ascii="gobCL" w:eastAsia="gobCL" w:hAnsi="gobCL" w:cs="gobCL"/>
          <w:b/>
          <w:sz w:val="20"/>
          <w:szCs w:val="20"/>
        </w:rPr>
        <w:t>PERTENENCIA A GIROS ECONÓMICOS</w:t>
      </w:r>
    </w:p>
    <w:p w:rsidR="009A1672" w:rsidRDefault="009A1672">
      <w:pPr>
        <w:jc w:val="center"/>
        <w:rPr>
          <w:b/>
        </w:rPr>
      </w:pPr>
    </w:p>
    <w:p w:rsidR="009A1672" w:rsidRDefault="009A1672">
      <w:pPr>
        <w:rPr>
          <w:b/>
        </w:rPr>
      </w:pPr>
    </w:p>
    <w:p w:rsidR="009A1672" w:rsidRDefault="009A1672">
      <w:pPr>
        <w:rPr>
          <w:sz w:val="20"/>
          <w:szCs w:val="20"/>
        </w:rPr>
      </w:pPr>
    </w:p>
    <w:p w:rsidR="009A1672" w:rsidRDefault="001325D8">
      <w:pPr>
        <w:jc w:val="both"/>
        <w:rPr>
          <w:rFonts w:ascii="gobCL" w:eastAsia="gobCL" w:hAnsi="gobCL" w:cs="gobCL"/>
          <w:sz w:val="20"/>
          <w:szCs w:val="20"/>
        </w:rPr>
      </w:pPr>
      <w:r>
        <w:rPr>
          <w:rFonts w:ascii="gobCL" w:eastAsia="gobCL" w:hAnsi="gobCL" w:cs="gobCL"/>
          <w:sz w:val="20"/>
          <w:szCs w:val="20"/>
        </w:rPr>
        <w:t>En___________, a _______de_____________________________ de 2021, don/doña________________, Rut N°__________, domiciliado en ___________, postulante a la convocatoria del programa especial para la industria de la belleza 2021, de Sercotec, Región XXXXXXX, d</w:t>
      </w:r>
      <w:r>
        <w:rPr>
          <w:rFonts w:ascii="gobCL" w:eastAsia="gobCL" w:hAnsi="gobCL" w:cs="gobCL"/>
          <w:sz w:val="20"/>
          <w:szCs w:val="20"/>
        </w:rPr>
        <w:t>eclara bajo juramento que su actividad laboral la desempeña actualmente en alguno de los siguientes giros focalizados y cuya verificación constituye un requisito para obtener el beneficio de la presente convocatoria, pudiendo Sercotec descalificar la postu</w:t>
      </w:r>
      <w:r>
        <w:rPr>
          <w:rFonts w:ascii="gobCL" w:eastAsia="gobCL" w:hAnsi="gobCL" w:cs="gobCL"/>
          <w:sz w:val="20"/>
          <w:szCs w:val="20"/>
        </w:rPr>
        <w:t>lación, en cualquier etapa del proceso, en caso que la información proporcionada sea falsa.</w:t>
      </w:r>
    </w:p>
    <w:p w:rsidR="009A1672" w:rsidRDefault="001325D8">
      <w:pPr>
        <w:jc w:val="both"/>
        <w:rPr>
          <w:rFonts w:ascii="gobCL" w:eastAsia="gobCL" w:hAnsi="gobCL" w:cs="gobCL"/>
          <w:sz w:val="20"/>
          <w:szCs w:val="20"/>
        </w:rPr>
      </w:pPr>
      <w:r>
        <w:rPr>
          <w:rFonts w:ascii="gobCL" w:eastAsia="gobCL" w:hAnsi="gobCL" w:cs="gobCL"/>
          <w:sz w:val="20"/>
          <w:szCs w:val="20"/>
        </w:rPr>
        <w:t xml:space="preserve"> </w:t>
      </w:r>
    </w:p>
    <w:p w:rsidR="009A1672" w:rsidRDefault="009A1672">
      <w:pPr>
        <w:jc w:val="both"/>
        <w:rPr>
          <w:rFonts w:ascii="gobCL" w:eastAsia="gobCL" w:hAnsi="gobCL" w:cs="gobCL"/>
          <w:sz w:val="20"/>
          <w:szCs w:val="20"/>
        </w:rPr>
      </w:pPr>
    </w:p>
    <w:p w:rsidR="009A1672" w:rsidRDefault="001325D8">
      <w:pPr>
        <w:jc w:val="both"/>
        <w:rPr>
          <w:rFonts w:ascii="gobCL" w:eastAsia="gobCL" w:hAnsi="gobCL" w:cs="gobCL"/>
          <w:sz w:val="20"/>
          <w:szCs w:val="20"/>
        </w:rPr>
      </w:pPr>
      <w:r>
        <w:rPr>
          <w:rFonts w:ascii="gobCL" w:eastAsia="gobCL" w:hAnsi="gobCL" w:cs="gobCL"/>
          <w:sz w:val="20"/>
          <w:szCs w:val="20"/>
        </w:rPr>
        <w:t xml:space="preserve">Marcar con una (x) al lado derecho del giro que corresponda </w:t>
      </w:r>
    </w:p>
    <w:tbl>
      <w:tblPr>
        <w:tblStyle w:val="af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38"/>
      </w:tblGrid>
      <w:tr w:rsidR="009A1672">
        <w:tc>
          <w:tcPr>
            <w:tcW w:w="0" w:type="auto"/>
          </w:tcPr>
          <w:p w:rsidR="009A1672" w:rsidRDefault="009A1672">
            <w:pPr>
              <w:spacing w:line="360" w:lineRule="auto"/>
              <w:ind w:right="-425"/>
              <w:jc w:val="both"/>
              <w:rPr>
                <w:rFonts w:ascii="Verdana" w:eastAsia="Verdana" w:hAnsi="Verdana" w:cs="Verdana"/>
              </w:rPr>
            </w:pPr>
          </w:p>
        </w:tc>
        <w:tc>
          <w:tcPr>
            <w:tcW w:w="0" w:type="auto"/>
            <w:vAlign w:val="center"/>
          </w:tcPr>
          <w:p w:rsidR="009A1672" w:rsidRDefault="001325D8">
            <w:pPr>
              <w:jc w:val="both"/>
              <w:rPr>
                <w:rFonts w:ascii="gobCL" w:eastAsia="gobCL" w:hAnsi="gobCL" w:cs="gobCL"/>
                <w:sz w:val="20"/>
                <w:szCs w:val="20"/>
              </w:rPr>
            </w:pPr>
            <w:r>
              <w:rPr>
                <w:rFonts w:ascii="gobCL" w:eastAsia="gobCL" w:hAnsi="gobCL" w:cs="gobCL"/>
                <w:sz w:val="20"/>
                <w:szCs w:val="20"/>
              </w:rPr>
              <w:t>960200: Peluquería y otros tratamientos de belleza.</w:t>
            </w:r>
          </w:p>
        </w:tc>
      </w:tr>
      <w:tr w:rsidR="009A1672">
        <w:tc>
          <w:tcPr>
            <w:tcW w:w="0" w:type="auto"/>
          </w:tcPr>
          <w:p w:rsidR="009A1672" w:rsidRDefault="001325D8">
            <w:pPr>
              <w:spacing w:line="360" w:lineRule="auto"/>
              <w:ind w:right="-425"/>
              <w:jc w:val="both"/>
              <w:rPr>
                <w:rFonts w:ascii="Verdana" w:eastAsia="Verdana" w:hAnsi="Verdana" w:cs="Verdana"/>
              </w:rPr>
            </w:pPr>
            <w:r>
              <w:rPr>
                <w:rFonts w:ascii="Verdana" w:eastAsia="Verdana" w:hAnsi="Verdana" w:cs="Verdana"/>
              </w:rPr>
              <w:t xml:space="preserve"> </w:t>
            </w:r>
          </w:p>
        </w:tc>
        <w:tc>
          <w:tcPr>
            <w:tcW w:w="0" w:type="auto"/>
            <w:vAlign w:val="center"/>
          </w:tcPr>
          <w:p w:rsidR="009A1672" w:rsidRDefault="001325D8">
            <w:pPr>
              <w:jc w:val="both"/>
              <w:rPr>
                <w:rFonts w:ascii="gobCL" w:eastAsia="gobCL" w:hAnsi="gobCL" w:cs="gobCL"/>
                <w:sz w:val="20"/>
                <w:szCs w:val="20"/>
              </w:rPr>
            </w:pPr>
            <w:r>
              <w:rPr>
                <w:rFonts w:ascii="gobCL" w:eastAsia="gobCL" w:hAnsi="gobCL" w:cs="gobCL"/>
                <w:sz w:val="20"/>
                <w:szCs w:val="20"/>
              </w:rPr>
              <w:t>960902: Actividad de salones de masajes, baños públicos.</w:t>
            </w:r>
          </w:p>
        </w:tc>
      </w:tr>
      <w:tr w:rsidR="009A1672">
        <w:tc>
          <w:tcPr>
            <w:tcW w:w="0" w:type="auto"/>
          </w:tcPr>
          <w:p w:rsidR="009A1672" w:rsidRDefault="009A1672">
            <w:pPr>
              <w:spacing w:line="360" w:lineRule="auto"/>
              <w:ind w:right="-425"/>
              <w:jc w:val="both"/>
              <w:rPr>
                <w:rFonts w:ascii="Verdana" w:eastAsia="Verdana" w:hAnsi="Verdana" w:cs="Verdana"/>
              </w:rPr>
            </w:pPr>
          </w:p>
        </w:tc>
        <w:tc>
          <w:tcPr>
            <w:tcW w:w="0" w:type="auto"/>
            <w:vAlign w:val="center"/>
          </w:tcPr>
          <w:p w:rsidR="009A1672" w:rsidRDefault="001325D8">
            <w:pPr>
              <w:jc w:val="both"/>
              <w:rPr>
                <w:rFonts w:ascii="gobCL" w:eastAsia="gobCL" w:hAnsi="gobCL" w:cs="gobCL"/>
                <w:sz w:val="20"/>
                <w:szCs w:val="20"/>
              </w:rPr>
            </w:pPr>
            <w:r>
              <w:rPr>
                <w:rFonts w:ascii="gobCL" w:eastAsia="gobCL" w:hAnsi="gobCL" w:cs="gobCL"/>
                <w:sz w:val="20"/>
                <w:szCs w:val="20"/>
              </w:rPr>
              <w:t>960901: Servicio adiestramiento, guardería, peluquería, paseo de mascota, (excepto act. veterinaria).</w:t>
            </w:r>
          </w:p>
        </w:tc>
      </w:tr>
      <w:tr w:rsidR="009A1672">
        <w:tc>
          <w:tcPr>
            <w:tcW w:w="0" w:type="auto"/>
          </w:tcPr>
          <w:p w:rsidR="009A1672" w:rsidRDefault="009A1672">
            <w:pPr>
              <w:spacing w:line="360" w:lineRule="auto"/>
              <w:ind w:right="-425"/>
              <w:jc w:val="both"/>
              <w:rPr>
                <w:rFonts w:ascii="Verdana" w:eastAsia="Verdana" w:hAnsi="Verdana" w:cs="Verdana"/>
              </w:rPr>
            </w:pPr>
          </w:p>
        </w:tc>
        <w:tc>
          <w:tcPr>
            <w:tcW w:w="0" w:type="auto"/>
            <w:vAlign w:val="center"/>
          </w:tcPr>
          <w:p w:rsidR="009A1672" w:rsidRDefault="001325D8">
            <w:pPr>
              <w:jc w:val="both"/>
              <w:rPr>
                <w:rFonts w:ascii="gobCL" w:eastAsia="gobCL" w:hAnsi="gobCL" w:cs="gobCL"/>
                <w:sz w:val="20"/>
                <w:szCs w:val="20"/>
              </w:rPr>
            </w:pPr>
            <w:r>
              <w:rPr>
                <w:rFonts w:ascii="gobCL" w:eastAsia="gobCL" w:hAnsi="gobCL" w:cs="gobCL"/>
                <w:sz w:val="20"/>
                <w:szCs w:val="20"/>
              </w:rPr>
              <w:t>869091: Otros servicios de atención de la salud humana prestados por empresas.</w:t>
            </w:r>
          </w:p>
        </w:tc>
      </w:tr>
      <w:tr w:rsidR="009A1672">
        <w:tc>
          <w:tcPr>
            <w:tcW w:w="0" w:type="auto"/>
          </w:tcPr>
          <w:p w:rsidR="009A1672" w:rsidRDefault="009A1672">
            <w:pPr>
              <w:spacing w:line="360" w:lineRule="auto"/>
              <w:ind w:right="-425"/>
              <w:jc w:val="both"/>
              <w:rPr>
                <w:rFonts w:ascii="Verdana" w:eastAsia="Verdana" w:hAnsi="Verdana" w:cs="Verdana"/>
              </w:rPr>
            </w:pPr>
          </w:p>
        </w:tc>
        <w:tc>
          <w:tcPr>
            <w:tcW w:w="0" w:type="auto"/>
            <w:vAlign w:val="center"/>
          </w:tcPr>
          <w:p w:rsidR="009A1672" w:rsidRDefault="001325D8">
            <w:pPr>
              <w:jc w:val="both"/>
              <w:rPr>
                <w:rFonts w:ascii="gobCL" w:eastAsia="gobCL" w:hAnsi="gobCL" w:cs="gobCL"/>
                <w:sz w:val="20"/>
                <w:szCs w:val="20"/>
              </w:rPr>
            </w:pPr>
            <w:r>
              <w:rPr>
                <w:rFonts w:ascii="gobCL" w:eastAsia="gobCL" w:hAnsi="gobCL" w:cs="gobCL"/>
                <w:sz w:val="20"/>
                <w:szCs w:val="20"/>
              </w:rPr>
              <w:t>960909: Otra</w:t>
            </w:r>
            <w:r>
              <w:rPr>
                <w:rFonts w:ascii="gobCL" w:eastAsia="gobCL" w:hAnsi="gobCL" w:cs="gobCL"/>
                <w:sz w:val="20"/>
                <w:szCs w:val="20"/>
              </w:rPr>
              <w:t>s actividades de servicios personales N.C.P.</w:t>
            </w:r>
          </w:p>
        </w:tc>
      </w:tr>
      <w:tr w:rsidR="009A1672">
        <w:tc>
          <w:tcPr>
            <w:tcW w:w="0" w:type="auto"/>
          </w:tcPr>
          <w:p w:rsidR="009A1672" w:rsidRDefault="009A1672">
            <w:pPr>
              <w:spacing w:line="360" w:lineRule="auto"/>
              <w:ind w:right="-425"/>
              <w:jc w:val="both"/>
              <w:rPr>
                <w:rFonts w:ascii="Verdana" w:eastAsia="Verdana" w:hAnsi="Verdana" w:cs="Verdana"/>
              </w:rPr>
            </w:pPr>
          </w:p>
        </w:tc>
        <w:tc>
          <w:tcPr>
            <w:tcW w:w="0" w:type="auto"/>
            <w:vAlign w:val="center"/>
          </w:tcPr>
          <w:p w:rsidR="009A1672" w:rsidRDefault="001325D8">
            <w:pPr>
              <w:jc w:val="both"/>
              <w:rPr>
                <w:rFonts w:ascii="gobCL" w:eastAsia="gobCL" w:hAnsi="gobCL" w:cs="gobCL"/>
                <w:sz w:val="20"/>
                <w:szCs w:val="20"/>
              </w:rPr>
            </w:pPr>
            <w:r>
              <w:rPr>
                <w:rFonts w:ascii="gobCL" w:eastAsia="gobCL" w:hAnsi="gobCL" w:cs="gobCL"/>
                <w:sz w:val="20"/>
                <w:szCs w:val="20"/>
              </w:rPr>
              <w:t>869092: Servicios prestados de forma independiente por otros profesionales de la salud.</w:t>
            </w:r>
          </w:p>
        </w:tc>
      </w:tr>
    </w:tbl>
    <w:p w:rsidR="009A1672" w:rsidRDefault="009A1672">
      <w:pPr>
        <w:rPr>
          <w:b/>
          <w:sz w:val="28"/>
          <w:szCs w:val="28"/>
        </w:rPr>
      </w:pPr>
    </w:p>
    <w:p w:rsidR="009A1672" w:rsidRDefault="009A1672">
      <w:pPr>
        <w:rPr>
          <w:b/>
          <w:sz w:val="28"/>
          <w:szCs w:val="28"/>
        </w:rPr>
      </w:pPr>
    </w:p>
    <w:p w:rsidR="009A1672" w:rsidRDefault="009A1672">
      <w:pPr>
        <w:rPr>
          <w:b/>
          <w:sz w:val="28"/>
          <w:szCs w:val="28"/>
        </w:rPr>
      </w:pPr>
    </w:p>
    <w:p w:rsidR="009A1672" w:rsidRDefault="009A1672">
      <w:pPr>
        <w:rPr>
          <w:b/>
          <w:sz w:val="28"/>
          <w:szCs w:val="28"/>
        </w:rPr>
      </w:pPr>
    </w:p>
    <w:p w:rsidR="009A1672" w:rsidRDefault="001325D8">
      <w:r>
        <w:t>Da fe con su firma;</w:t>
      </w:r>
    </w:p>
    <w:tbl>
      <w:tblPr>
        <w:tblStyle w:val="afff6"/>
        <w:tblW w:w="3997" w:type="dxa"/>
        <w:tblInd w:w="2479" w:type="dxa"/>
        <w:tblLayout w:type="fixed"/>
        <w:tblLook w:val="0000" w:firstRow="0" w:lastRow="0" w:firstColumn="0" w:lastColumn="0" w:noHBand="0" w:noVBand="0"/>
      </w:tblPr>
      <w:tblGrid>
        <w:gridCol w:w="540"/>
        <w:gridCol w:w="626"/>
        <w:gridCol w:w="2832"/>
      </w:tblGrid>
      <w:tr w:rsidR="009A1672">
        <w:tc>
          <w:tcPr>
            <w:tcW w:w="0" w:type="auto"/>
          </w:tcPr>
          <w:p w:rsidR="009A1672" w:rsidRDefault="009A1672"/>
        </w:tc>
        <w:tc>
          <w:tcPr>
            <w:tcW w:w="0" w:type="auto"/>
          </w:tcPr>
          <w:p w:rsidR="009A1672" w:rsidRDefault="009A1672"/>
        </w:tc>
        <w:tc>
          <w:tcPr>
            <w:tcW w:w="0" w:type="auto"/>
            <w:tcBorders>
              <w:top w:val="single" w:sz="4" w:space="0" w:color="000000"/>
              <w:left w:val="nil"/>
              <w:bottom w:val="nil"/>
              <w:right w:val="nil"/>
            </w:tcBorders>
          </w:tcPr>
          <w:p w:rsidR="009A1672" w:rsidRDefault="009A1672"/>
        </w:tc>
      </w:tr>
      <w:tr w:rsidR="009A1672">
        <w:tc>
          <w:tcPr>
            <w:tcW w:w="0" w:type="auto"/>
          </w:tcPr>
          <w:p w:rsidR="009A1672" w:rsidRDefault="009A1672"/>
        </w:tc>
        <w:tc>
          <w:tcPr>
            <w:tcW w:w="0" w:type="auto"/>
          </w:tcPr>
          <w:p w:rsidR="009A1672" w:rsidRDefault="009A1672"/>
        </w:tc>
        <w:tc>
          <w:tcPr>
            <w:tcW w:w="0" w:type="auto"/>
          </w:tcPr>
          <w:p w:rsidR="009A1672" w:rsidRDefault="001325D8">
            <w:pPr>
              <w:rPr>
                <w:b/>
              </w:rPr>
            </w:pPr>
            <w:r>
              <w:rPr>
                <w:b/>
              </w:rPr>
              <w:t xml:space="preserve">Nombre y Firma </w:t>
            </w:r>
          </w:p>
          <w:p w:rsidR="009A1672" w:rsidRDefault="001325D8">
            <w:r>
              <w:rPr>
                <w:b/>
              </w:rPr>
              <w:t>RUT</w:t>
            </w:r>
          </w:p>
        </w:tc>
      </w:tr>
    </w:tbl>
    <w:p w:rsidR="009A1672" w:rsidRDefault="001325D8">
      <w:pPr>
        <w:rPr>
          <w:rFonts w:ascii="gobCL" w:eastAsia="gobCL" w:hAnsi="gobCL" w:cs="gobCL"/>
        </w:rPr>
      </w:pPr>
      <w:r>
        <w:rPr>
          <w:rFonts w:ascii="gobCL" w:eastAsia="gobCL" w:hAnsi="gobCL" w:cs="gobCL"/>
        </w:rPr>
        <w:t xml:space="preserve"> </w:t>
      </w:r>
    </w:p>
    <w:sectPr w:rsidR="009A1672">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D8" w:rsidRDefault="001325D8">
      <w:pPr>
        <w:spacing w:after="0" w:line="240" w:lineRule="auto"/>
      </w:pPr>
      <w:r>
        <w:separator/>
      </w:r>
    </w:p>
  </w:endnote>
  <w:endnote w:type="continuationSeparator" w:id="0">
    <w:p w:rsidR="001325D8" w:rsidRDefault="0013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72" w:rsidRDefault="001325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845E27">
      <w:rPr>
        <w:color w:val="000000"/>
      </w:rPr>
      <w:fldChar w:fldCharType="separate"/>
    </w:r>
    <w:r w:rsidR="009D3455">
      <w:rPr>
        <w:noProof/>
        <w:color w:val="000000"/>
      </w:rPr>
      <w:t>1</w:t>
    </w:r>
    <w:r>
      <w:rPr>
        <w:color w:val="000000"/>
      </w:rPr>
      <w:fldChar w:fldCharType="end"/>
    </w:r>
  </w:p>
  <w:p w:rsidR="009A1672" w:rsidRDefault="009A1672"/>
  <w:p w:rsidR="009A1672" w:rsidRDefault="009A16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D8" w:rsidRDefault="001325D8">
      <w:pPr>
        <w:spacing w:after="0" w:line="240" w:lineRule="auto"/>
      </w:pPr>
      <w:r>
        <w:separator/>
      </w:r>
    </w:p>
  </w:footnote>
  <w:footnote w:type="continuationSeparator" w:id="0">
    <w:p w:rsidR="001325D8" w:rsidRDefault="001325D8">
      <w:pPr>
        <w:spacing w:after="0" w:line="240" w:lineRule="auto"/>
      </w:pPr>
      <w:r>
        <w:continuationSeparator/>
      </w:r>
    </w:p>
  </w:footnote>
  <w:footnote w:id="1">
    <w:p w:rsidR="009A1672" w:rsidRDefault="001325D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bien las personas que tributan en segunda categoría lo hacen en función de la renta, para el caso de las presentes bases se ha homologado dicho término con el de ventas.</w:t>
      </w:r>
    </w:p>
  </w:footnote>
  <w:footnote w:id="2">
    <w:p w:rsidR="009A1672" w:rsidRDefault="001325D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no se hace responsable por eventuales errores en la información provista por el Servicio de Impuestos Internos. </w:t>
      </w:r>
    </w:p>
  </w:footnote>
  <w:footnote w:id="3">
    <w:p w:rsidR="009A1672" w:rsidRDefault="001325D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no cumplimiento de alguno de los siguientes requisitos no es impedimento para enviar la postulación, ya que serán revisados en l</w:t>
      </w:r>
      <w:r>
        <w:rPr>
          <w:color w:val="000000"/>
          <w:sz w:val="20"/>
          <w:szCs w:val="20"/>
        </w:rPr>
        <w:t>a etapa de formalización para quienes resulten seleccionados como requisito para acceder al programa.</w:t>
      </w:r>
    </w:p>
  </w:footnote>
  <w:footnote w:id="4">
    <w:p w:rsidR="009A1672" w:rsidRDefault="001325D8">
      <w:pPr>
        <w:spacing w:after="0" w:line="240" w:lineRule="auto"/>
        <w:jc w:val="both"/>
        <w:rPr>
          <w:sz w:val="20"/>
          <w:szCs w:val="20"/>
        </w:rPr>
      </w:pPr>
      <w:r>
        <w:rPr>
          <w:vertAlign w:val="superscript"/>
        </w:rPr>
        <w:footnoteRef/>
      </w:r>
      <w:r>
        <w:rPr>
          <w:sz w:val="20"/>
          <w:szCs w:val="20"/>
        </w:rPr>
        <w:t xml:space="preserve"> Este requisito se verificará al momento de la formalización a través de declaración jurada de Probidad (Anexo N° 3).</w:t>
      </w:r>
    </w:p>
  </w:footnote>
  <w:footnote w:id="5">
    <w:p w:rsidR="009A1672" w:rsidRDefault="001325D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6">
    <w:p w:rsidR="009A1672" w:rsidRDefault="001325D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w:t>
      </w:r>
      <w:r>
        <w:rPr>
          <w:color w:val="000000"/>
          <w:sz w:val="20"/>
          <w:szCs w:val="20"/>
        </w:rPr>
        <w:t>ibir la habilitación de infraestructura.</w:t>
      </w:r>
    </w:p>
  </w:footnote>
  <w:footnote w:id="7">
    <w:p w:rsidR="009A1672" w:rsidRDefault="001325D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8">
    <w:p w:rsidR="009A1672" w:rsidRDefault="001325D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rsidR="009A1672" w:rsidRDefault="001325D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w:t>
      </w:r>
      <w:r>
        <w:rPr>
          <w:color w:val="000000"/>
          <w:sz w:val="20"/>
          <w:szCs w:val="20"/>
        </w:rPr>
        <w:t>icial de Chile Continental</w:t>
      </w:r>
    </w:p>
  </w:footnote>
  <w:footnote w:id="10">
    <w:p w:rsidR="009A1672" w:rsidRDefault="001325D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w:t>
      </w:r>
      <w:r>
        <w:rPr>
          <w:rFonts w:ascii="gobCL" w:eastAsia="gobCL" w:hAnsi="gobCL" w:cs="gobCL"/>
          <w:color w:val="000000"/>
          <w:sz w:val="18"/>
          <w:szCs w:val="18"/>
        </w:rPr>
        <w:t>asignación de recursos, y se encuentra integrado por el Director/a Regional o quien lo subrogue, un secretario/a, el Coordinador/a de Planificación y Operaciones, un ejecutivo/a de fomento y un ejecutivo/a financiero.</w:t>
      </w:r>
    </w:p>
  </w:footnote>
  <w:footnote w:id="11">
    <w:p w:rsidR="009A1672" w:rsidRDefault="001325D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w:t>
      </w:r>
      <w:r>
        <w:rPr>
          <w:rFonts w:ascii="gobCL" w:eastAsia="gobCL" w:hAnsi="gobCL" w:cs="gobCL"/>
          <w:color w:val="000000"/>
          <w:sz w:val="18"/>
          <w:szCs w:val="18"/>
        </w:rPr>
        <w:t xml:space="preserve"> reembolso de gastos, el Agente Operador deberá incorporar en su acta de recepción, un anexo con la identificación y fecha de entrega de los documentos por parte del/la beneficiario/a, la fecha de recepción del reembolso y firma por parte del empresario/a.</w:t>
      </w:r>
    </w:p>
    <w:p w:rsidR="009A1672" w:rsidRDefault="009A1672">
      <w:pPr>
        <w:pBdr>
          <w:top w:val="nil"/>
          <w:left w:val="nil"/>
          <w:bottom w:val="nil"/>
          <w:right w:val="nil"/>
          <w:between w:val="nil"/>
        </w:pBdr>
        <w:spacing w:after="0" w:line="240" w:lineRule="auto"/>
        <w:rPr>
          <w:color w:val="000000"/>
          <w:sz w:val="20"/>
          <w:szCs w:val="20"/>
        </w:rPr>
      </w:pPr>
    </w:p>
  </w:footnote>
  <w:footnote w:id="12">
    <w:p w:rsidR="009A1672" w:rsidRDefault="001325D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Considerar, en el caso de contribuyentes de segunda categoría, que solo se acepta la rendición de gastos a través de documento/s tributario/s (es decir factura o boleta electrónica) donde se identifica el nombre y/o rut del beneficiario/a, detalle o gl</w:t>
      </w:r>
      <w:r>
        <w:rPr>
          <w:color w:val="000000"/>
          <w:sz w:val="20"/>
          <w:szCs w:val="20"/>
        </w:rPr>
        <w:t>osa, entre otros normados en estas bases y/o instructivo de rendición vigente de Sercotec. (no se aceptan boletas).</w:t>
      </w:r>
    </w:p>
  </w:footnote>
  <w:footnote w:id="13">
    <w:p w:rsidR="009A1672" w:rsidRDefault="001325D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w:t>
      </w:r>
      <w:r>
        <w:rPr>
          <w:color w:val="000000"/>
          <w:sz w:val="20"/>
          <w:szCs w:val="20"/>
        </w:rPr>
        <w:t xml:space="preserve"> posterioridad a la firma de contrato. Esto, ya que la modificación también puede incluir gastos retroactivos realizados entre el 18 de marzo y la fecha de firma del contrato.</w:t>
      </w:r>
    </w:p>
    <w:p w:rsidR="009A1672" w:rsidRDefault="009A1672">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4C3"/>
    <w:multiLevelType w:val="multilevel"/>
    <w:tmpl w:val="FF306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A023F"/>
    <w:multiLevelType w:val="multilevel"/>
    <w:tmpl w:val="D6680DC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304DF3"/>
    <w:multiLevelType w:val="multilevel"/>
    <w:tmpl w:val="6C4AB664"/>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33E5BB8"/>
    <w:multiLevelType w:val="multilevel"/>
    <w:tmpl w:val="EFA2CEC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E6B83"/>
    <w:multiLevelType w:val="multilevel"/>
    <w:tmpl w:val="C2EED19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6963B9D"/>
    <w:multiLevelType w:val="multilevel"/>
    <w:tmpl w:val="7B087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684142"/>
    <w:multiLevelType w:val="multilevel"/>
    <w:tmpl w:val="96F011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F2366B"/>
    <w:multiLevelType w:val="multilevel"/>
    <w:tmpl w:val="F098B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F443C3"/>
    <w:multiLevelType w:val="multilevel"/>
    <w:tmpl w:val="B55ADD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A071CC"/>
    <w:multiLevelType w:val="multilevel"/>
    <w:tmpl w:val="037AD1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30413E"/>
    <w:multiLevelType w:val="multilevel"/>
    <w:tmpl w:val="47DC3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9C2A05"/>
    <w:multiLevelType w:val="multilevel"/>
    <w:tmpl w:val="64160D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4315DA1"/>
    <w:multiLevelType w:val="multilevel"/>
    <w:tmpl w:val="844AA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826875"/>
    <w:multiLevelType w:val="multilevel"/>
    <w:tmpl w:val="3AF4ED44"/>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4" w15:restartNumberingAfterBreak="0">
    <w:nsid w:val="7FCB5DA4"/>
    <w:multiLevelType w:val="multilevel"/>
    <w:tmpl w:val="480C4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14"/>
  </w:num>
  <w:num w:numId="4">
    <w:abstractNumId w:val="3"/>
  </w:num>
  <w:num w:numId="5">
    <w:abstractNumId w:val="8"/>
  </w:num>
  <w:num w:numId="6">
    <w:abstractNumId w:val="7"/>
  </w:num>
  <w:num w:numId="7">
    <w:abstractNumId w:val="5"/>
  </w:num>
  <w:num w:numId="8">
    <w:abstractNumId w:val="4"/>
  </w:num>
  <w:num w:numId="9">
    <w:abstractNumId w:val="1"/>
  </w:num>
  <w:num w:numId="10">
    <w:abstractNumId w:val="0"/>
  </w:num>
  <w:num w:numId="11">
    <w:abstractNumId w:val="9"/>
  </w:num>
  <w:num w:numId="12">
    <w:abstractNumId w:val="13"/>
  </w:num>
  <w:num w:numId="13">
    <w:abstractNumId w:val="1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72"/>
    <w:rsid w:val="001325D8"/>
    <w:rsid w:val="00845E27"/>
    <w:rsid w:val="009A1672"/>
    <w:rsid w:val="009D34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6908"/>
  <w15:docId w15:val="{C96CD6A5-8101-4EB4-9A8A-B9386124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t9XIHsA6JKoHoTJnpWw8dNN/ow==">AMUW2mVN+EUsNEn16zSNj4tKwZ71MaG85Hhg0e0v5WUVHDLxQmOkMacarfXkgQv1oe70qm+8oKBAW5y0i7zsP2WMyF1hWBbBIV5QpKiDiqshu7XvXGfg9+o2slmQ/jyJrAp2/7cwXXT00cPWKyksX+JGg4++JQKXFY2/U63FUqiXjjWKoDvucwmKRtVeo7ovoMHlaxgkWJMF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9029</Words>
  <Characters>49664</Characters>
  <Application>Microsoft Office Word</Application>
  <DocSecurity>0</DocSecurity>
  <Lines>413</Lines>
  <Paragraphs>117</Paragraphs>
  <ScaleCrop>false</ScaleCrop>
  <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3</cp:revision>
  <dcterms:created xsi:type="dcterms:W3CDTF">2021-07-13T17:34:00Z</dcterms:created>
  <dcterms:modified xsi:type="dcterms:W3CDTF">2021-07-14T16:39:00Z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