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bookmarkStart w:colFirst="0" w:colLast="0" w:name="_heading=h.2et92p0" w:id="1"/>
      <w:bookmarkEnd w:id="1"/>
      <w:r w:rsidDel="00000000" w:rsidR="00000000" w:rsidRPr="00000000">
        <w:rPr>
          <w:rFonts w:ascii="gobCL" w:cs="gobCL" w:eastAsia="gobCL" w:hAnsi="gobCL"/>
          <w:b w:val="1"/>
          <w:color w:val="000000"/>
          <w:sz w:val="36"/>
          <w:szCs w:val="36"/>
          <w:rtl w:val="0"/>
        </w:rPr>
        <w:t xml:space="preserve">Región de Antofagasta</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49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r w:rsidDel="00000000" w:rsidR="00000000" w:rsidRPr="00000000">
        <w:rPr>
          <w:rtl w:val="0"/>
        </w:rPr>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Praxis Gestor Capacitación Ltda. teléfono 9 31940939 y 55 2224842, correo electrónico gerencia@praxisgestor.cl. Además, puede pedir orientación a los Puntos Mipe, a los teléfonos 9 96174263 o al 9 33029669, tambien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W1ggQ+q/Vvu36lzaOhG4wS5ftw==">AMUW2mUQfHmq1tR7L3JE7Zhb83SZbHQrMgvL3VcTR2SXzE2fETANl/n3nZQwgm4mFnybpUk+RIjUEAEtlQLZkoK2gsLIJjgHda/rIImwS22PbtO3l8AjbyzUCrSRQZOQnmWaC0LN2XBLz3D4AbK+sCfdVLiEf4H2WAQPjJ41L8r4LtY8NDn9pI/0Ik7H/NVcLhrDd9L7g/nM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2021-07-13T17:31:00Z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