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A31B428"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576EFA">
        <w:rPr>
          <w:rFonts w:eastAsia="Arial Unicode MS" w:cs="Arial"/>
          <w:b/>
          <w:bCs/>
          <w:sz w:val="40"/>
          <w:szCs w:val="40"/>
        </w:rPr>
        <w:t>VALPARAÍSO</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2D885E5D"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3</w:t>
            </w:r>
            <w:r w:rsidR="00D97362" w:rsidRPr="00D97362">
              <w:rPr>
                <w:noProof/>
                <w:webHidden/>
                <w:sz w:val="18"/>
                <w:szCs w:val="18"/>
              </w:rPr>
              <w:fldChar w:fldCharType="end"/>
            </w:r>
          </w:hyperlink>
        </w:p>
        <w:p w14:paraId="41341719" w14:textId="782E8BBD"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3</w:t>
            </w:r>
            <w:r w:rsidR="00D97362" w:rsidRPr="00D97362">
              <w:rPr>
                <w:noProof/>
                <w:webHidden/>
                <w:sz w:val="18"/>
                <w:szCs w:val="18"/>
              </w:rPr>
              <w:fldChar w:fldCharType="end"/>
            </w:r>
          </w:hyperlink>
        </w:p>
        <w:p w14:paraId="0666E7A3" w14:textId="6F15DC58"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4</w:t>
            </w:r>
            <w:r w:rsidR="00D97362" w:rsidRPr="00D97362">
              <w:rPr>
                <w:noProof/>
                <w:webHidden/>
                <w:sz w:val="18"/>
                <w:szCs w:val="18"/>
              </w:rPr>
              <w:fldChar w:fldCharType="end"/>
            </w:r>
          </w:hyperlink>
        </w:p>
        <w:p w14:paraId="34D10B9E" w14:textId="41FB02B7"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5</w:t>
            </w:r>
            <w:r w:rsidR="00D97362" w:rsidRPr="00D97362">
              <w:rPr>
                <w:noProof/>
                <w:webHidden/>
                <w:sz w:val="18"/>
                <w:szCs w:val="18"/>
              </w:rPr>
              <w:fldChar w:fldCharType="end"/>
            </w:r>
          </w:hyperlink>
        </w:p>
        <w:p w14:paraId="52B7771A" w14:textId="66F9836B"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5</w:t>
            </w:r>
            <w:r w:rsidR="00D97362" w:rsidRPr="00D97362">
              <w:rPr>
                <w:noProof/>
                <w:webHidden/>
                <w:sz w:val="18"/>
                <w:szCs w:val="18"/>
              </w:rPr>
              <w:fldChar w:fldCharType="end"/>
            </w:r>
          </w:hyperlink>
        </w:p>
        <w:p w14:paraId="6360FDF4" w14:textId="473D7286"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6</w:t>
            </w:r>
            <w:r w:rsidR="00D97362" w:rsidRPr="00D97362">
              <w:rPr>
                <w:noProof/>
                <w:webHidden/>
                <w:sz w:val="18"/>
                <w:szCs w:val="18"/>
              </w:rPr>
              <w:fldChar w:fldCharType="end"/>
            </w:r>
          </w:hyperlink>
        </w:p>
        <w:p w14:paraId="1AFB6DDB" w14:textId="7411D7EB"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8</w:t>
            </w:r>
            <w:r w:rsidR="00D97362" w:rsidRPr="00D97362">
              <w:rPr>
                <w:noProof/>
                <w:webHidden/>
                <w:sz w:val="18"/>
                <w:szCs w:val="18"/>
              </w:rPr>
              <w:fldChar w:fldCharType="end"/>
            </w:r>
          </w:hyperlink>
        </w:p>
        <w:p w14:paraId="3AB239D5" w14:textId="45E19471"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10</w:t>
            </w:r>
            <w:r w:rsidR="00D97362" w:rsidRPr="00D97362">
              <w:rPr>
                <w:noProof/>
                <w:webHidden/>
                <w:sz w:val="18"/>
                <w:szCs w:val="18"/>
              </w:rPr>
              <w:fldChar w:fldCharType="end"/>
            </w:r>
          </w:hyperlink>
        </w:p>
        <w:p w14:paraId="626180F6" w14:textId="1C4BFA24"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11</w:t>
            </w:r>
            <w:r w:rsidR="00D97362" w:rsidRPr="00D97362">
              <w:rPr>
                <w:noProof/>
                <w:webHidden/>
                <w:sz w:val="18"/>
                <w:szCs w:val="18"/>
              </w:rPr>
              <w:fldChar w:fldCharType="end"/>
            </w:r>
          </w:hyperlink>
        </w:p>
        <w:p w14:paraId="519D3C60" w14:textId="2EFD4A03"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11</w:t>
            </w:r>
            <w:r w:rsidR="00D97362" w:rsidRPr="00D97362">
              <w:rPr>
                <w:noProof/>
                <w:webHidden/>
                <w:sz w:val="18"/>
                <w:szCs w:val="18"/>
              </w:rPr>
              <w:fldChar w:fldCharType="end"/>
            </w:r>
          </w:hyperlink>
        </w:p>
        <w:p w14:paraId="18221501" w14:textId="27E4BEAD"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11</w:t>
            </w:r>
            <w:r w:rsidR="00D97362" w:rsidRPr="00D97362">
              <w:rPr>
                <w:noProof/>
                <w:webHidden/>
                <w:sz w:val="18"/>
                <w:szCs w:val="18"/>
              </w:rPr>
              <w:fldChar w:fldCharType="end"/>
            </w:r>
          </w:hyperlink>
        </w:p>
        <w:p w14:paraId="6E8C90F1" w14:textId="754B84FE"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13</w:t>
            </w:r>
            <w:r w:rsidR="00D97362" w:rsidRPr="00D97362">
              <w:rPr>
                <w:noProof/>
                <w:webHidden/>
                <w:sz w:val="18"/>
                <w:szCs w:val="18"/>
              </w:rPr>
              <w:fldChar w:fldCharType="end"/>
            </w:r>
          </w:hyperlink>
        </w:p>
        <w:p w14:paraId="21A155A1" w14:textId="2D449AAE"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14</w:t>
            </w:r>
            <w:r w:rsidR="00D97362" w:rsidRPr="00D97362">
              <w:rPr>
                <w:noProof/>
                <w:webHidden/>
                <w:sz w:val="18"/>
                <w:szCs w:val="18"/>
              </w:rPr>
              <w:fldChar w:fldCharType="end"/>
            </w:r>
          </w:hyperlink>
        </w:p>
        <w:p w14:paraId="455EC081" w14:textId="7CF7519D"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14</w:t>
            </w:r>
            <w:r w:rsidR="00D97362" w:rsidRPr="00D97362">
              <w:rPr>
                <w:noProof/>
                <w:webHidden/>
                <w:sz w:val="18"/>
                <w:szCs w:val="18"/>
              </w:rPr>
              <w:fldChar w:fldCharType="end"/>
            </w:r>
          </w:hyperlink>
        </w:p>
        <w:p w14:paraId="5F0BE57C" w14:textId="5CE4A954"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14</w:t>
            </w:r>
            <w:r w:rsidR="00D97362" w:rsidRPr="00D97362">
              <w:rPr>
                <w:noProof/>
                <w:webHidden/>
                <w:sz w:val="18"/>
                <w:szCs w:val="18"/>
              </w:rPr>
              <w:fldChar w:fldCharType="end"/>
            </w:r>
          </w:hyperlink>
        </w:p>
        <w:p w14:paraId="666FB0F8" w14:textId="79E791BC"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14</w:t>
            </w:r>
            <w:r w:rsidR="00D97362" w:rsidRPr="00D97362">
              <w:rPr>
                <w:noProof/>
                <w:webHidden/>
                <w:sz w:val="18"/>
                <w:szCs w:val="18"/>
              </w:rPr>
              <w:fldChar w:fldCharType="end"/>
            </w:r>
          </w:hyperlink>
        </w:p>
        <w:p w14:paraId="65E4FBA6" w14:textId="57D87C16"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15</w:t>
            </w:r>
            <w:r w:rsidR="00D97362" w:rsidRPr="00D97362">
              <w:rPr>
                <w:noProof/>
                <w:webHidden/>
                <w:sz w:val="18"/>
                <w:szCs w:val="18"/>
              </w:rPr>
              <w:fldChar w:fldCharType="end"/>
            </w:r>
          </w:hyperlink>
        </w:p>
        <w:p w14:paraId="1C96FC2E" w14:textId="3EF7D6CE"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15</w:t>
            </w:r>
            <w:r w:rsidR="00D97362" w:rsidRPr="00D97362">
              <w:rPr>
                <w:noProof/>
                <w:webHidden/>
                <w:sz w:val="18"/>
                <w:szCs w:val="18"/>
              </w:rPr>
              <w:fldChar w:fldCharType="end"/>
            </w:r>
          </w:hyperlink>
        </w:p>
        <w:p w14:paraId="67552143" w14:textId="0FAE1A1A"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18</w:t>
            </w:r>
            <w:r w:rsidR="00D97362" w:rsidRPr="00D97362">
              <w:rPr>
                <w:noProof/>
                <w:webHidden/>
                <w:sz w:val="18"/>
                <w:szCs w:val="18"/>
              </w:rPr>
              <w:fldChar w:fldCharType="end"/>
            </w:r>
          </w:hyperlink>
        </w:p>
        <w:p w14:paraId="47E9FC27" w14:textId="1A4D7F14"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18</w:t>
            </w:r>
            <w:r w:rsidR="00D97362" w:rsidRPr="00D97362">
              <w:rPr>
                <w:noProof/>
                <w:webHidden/>
                <w:sz w:val="18"/>
                <w:szCs w:val="18"/>
              </w:rPr>
              <w:fldChar w:fldCharType="end"/>
            </w:r>
          </w:hyperlink>
        </w:p>
        <w:p w14:paraId="767B44D3" w14:textId="4B8DFE8E"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19</w:t>
            </w:r>
            <w:r w:rsidR="00D97362" w:rsidRPr="00D97362">
              <w:rPr>
                <w:noProof/>
                <w:webHidden/>
                <w:sz w:val="18"/>
                <w:szCs w:val="18"/>
              </w:rPr>
              <w:fldChar w:fldCharType="end"/>
            </w:r>
          </w:hyperlink>
        </w:p>
        <w:p w14:paraId="720C38A1" w14:textId="4BA1BCD3"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21</w:t>
            </w:r>
            <w:r w:rsidR="00D97362" w:rsidRPr="00D97362">
              <w:rPr>
                <w:noProof/>
                <w:webHidden/>
                <w:sz w:val="18"/>
                <w:szCs w:val="18"/>
              </w:rPr>
              <w:fldChar w:fldCharType="end"/>
            </w:r>
          </w:hyperlink>
        </w:p>
        <w:p w14:paraId="59E55A91" w14:textId="23B8D8A3"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23</w:t>
            </w:r>
            <w:r w:rsidR="00D97362" w:rsidRPr="00D97362">
              <w:rPr>
                <w:noProof/>
                <w:webHidden/>
                <w:sz w:val="18"/>
                <w:szCs w:val="18"/>
              </w:rPr>
              <w:fldChar w:fldCharType="end"/>
            </w:r>
          </w:hyperlink>
        </w:p>
        <w:p w14:paraId="4ED06409" w14:textId="3CC8F9F1" w:rsidR="00D97362" w:rsidRPr="00D97362" w:rsidRDefault="00163B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24</w:t>
            </w:r>
            <w:r w:rsidR="00D97362" w:rsidRPr="00D97362">
              <w:rPr>
                <w:noProof/>
                <w:webHidden/>
                <w:sz w:val="18"/>
                <w:szCs w:val="18"/>
              </w:rPr>
              <w:fldChar w:fldCharType="end"/>
            </w:r>
          </w:hyperlink>
        </w:p>
        <w:p w14:paraId="2B9A94AC" w14:textId="7C99AFCD"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25</w:t>
            </w:r>
            <w:r w:rsidR="00D97362" w:rsidRPr="00D97362">
              <w:rPr>
                <w:noProof/>
                <w:webHidden/>
                <w:sz w:val="18"/>
                <w:szCs w:val="18"/>
              </w:rPr>
              <w:fldChar w:fldCharType="end"/>
            </w:r>
          </w:hyperlink>
        </w:p>
        <w:p w14:paraId="6446576F" w14:textId="266609A3"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28</w:t>
            </w:r>
            <w:r w:rsidR="00D97362" w:rsidRPr="00D97362">
              <w:rPr>
                <w:noProof/>
                <w:webHidden/>
                <w:sz w:val="18"/>
                <w:szCs w:val="18"/>
              </w:rPr>
              <w:fldChar w:fldCharType="end"/>
            </w:r>
          </w:hyperlink>
        </w:p>
        <w:p w14:paraId="79952C11" w14:textId="6F8D2220"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31</w:t>
            </w:r>
            <w:r w:rsidR="00D97362" w:rsidRPr="00D97362">
              <w:rPr>
                <w:noProof/>
                <w:webHidden/>
                <w:sz w:val="18"/>
                <w:szCs w:val="18"/>
              </w:rPr>
              <w:fldChar w:fldCharType="end"/>
            </w:r>
          </w:hyperlink>
        </w:p>
        <w:p w14:paraId="6AC873D8" w14:textId="5DECB86D"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35</w:t>
            </w:r>
            <w:r w:rsidR="00D97362" w:rsidRPr="00D97362">
              <w:rPr>
                <w:noProof/>
                <w:webHidden/>
                <w:sz w:val="18"/>
                <w:szCs w:val="18"/>
              </w:rPr>
              <w:fldChar w:fldCharType="end"/>
            </w:r>
          </w:hyperlink>
        </w:p>
        <w:p w14:paraId="2711266C" w14:textId="6245449A"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36</w:t>
            </w:r>
            <w:r w:rsidR="00D97362" w:rsidRPr="00D97362">
              <w:rPr>
                <w:noProof/>
                <w:webHidden/>
                <w:sz w:val="18"/>
                <w:szCs w:val="18"/>
              </w:rPr>
              <w:fldChar w:fldCharType="end"/>
            </w:r>
          </w:hyperlink>
        </w:p>
        <w:p w14:paraId="57FBC7F0" w14:textId="3E953F91"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37</w:t>
            </w:r>
            <w:r w:rsidR="00D97362" w:rsidRPr="00D97362">
              <w:rPr>
                <w:noProof/>
                <w:webHidden/>
                <w:sz w:val="18"/>
                <w:szCs w:val="18"/>
              </w:rPr>
              <w:fldChar w:fldCharType="end"/>
            </w:r>
          </w:hyperlink>
        </w:p>
        <w:p w14:paraId="71321FB2" w14:textId="200AFCEA"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39</w:t>
            </w:r>
            <w:r w:rsidR="00D97362" w:rsidRPr="00D97362">
              <w:rPr>
                <w:noProof/>
                <w:webHidden/>
                <w:sz w:val="18"/>
                <w:szCs w:val="18"/>
              </w:rPr>
              <w:fldChar w:fldCharType="end"/>
            </w:r>
          </w:hyperlink>
        </w:p>
        <w:p w14:paraId="2AF6E3E1" w14:textId="539E08FE"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40</w:t>
            </w:r>
            <w:r w:rsidR="00D97362" w:rsidRPr="00D97362">
              <w:rPr>
                <w:noProof/>
                <w:webHidden/>
                <w:sz w:val="18"/>
                <w:szCs w:val="18"/>
              </w:rPr>
              <w:fldChar w:fldCharType="end"/>
            </w:r>
          </w:hyperlink>
        </w:p>
        <w:p w14:paraId="5C90FE16" w14:textId="1869FB70"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44</w:t>
            </w:r>
            <w:r w:rsidR="00D97362" w:rsidRPr="00D97362">
              <w:rPr>
                <w:noProof/>
                <w:webHidden/>
                <w:sz w:val="18"/>
                <w:szCs w:val="18"/>
              </w:rPr>
              <w:fldChar w:fldCharType="end"/>
            </w:r>
          </w:hyperlink>
        </w:p>
        <w:p w14:paraId="4170798B" w14:textId="18943527" w:rsidR="00D97362" w:rsidRPr="00D97362" w:rsidRDefault="00163B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576EFA">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621508"/>
      <w:r w:rsidRPr="00C35047">
        <w:t>1.1</w:t>
      </w:r>
      <w:r w:rsidR="007B15FD" w:rsidRPr="00C35047">
        <w:tab/>
      </w:r>
      <w:r w:rsidR="006C10DE" w:rsidRPr="00C35047">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r w:rsidR="00977ED5" w:rsidRPr="00B508D5">
        <w:rPr>
          <w:szCs w:val="22"/>
        </w:rPr>
        <w:t xml:space="preserve">Sercotec apoya al emprendedor/a </w:t>
      </w:r>
      <w:r w:rsidR="004D7442" w:rsidRPr="00B508D5">
        <w:rPr>
          <w:szCs w:val="22"/>
        </w:rPr>
        <w:t>a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r w:rsidRPr="00890FD7">
        <w:rPr>
          <w:rFonts w:cs="Arial"/>
          <w:szCs w:val="22"/>
        </w:rPr>
        <w:lastRenderedPageBreak/>
        <w:t xml:space="preserve">Sercotec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rut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4206D913" w:rsidR="006C08F0" w:rsidRPr="00937555" w:rsidRDefault="008747F9" w:rsidP="00CA5BD9">
      <w:pPr>
        <w:pStyle w:val="Ttulo20"/>
        <w:jc w:val="both"/>
        <w:outlineLvl w:val="9"/>
      </w:pPr>
      <w:bookmarkStart w:id="20"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576EFA">
        <w:t>833</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7621510"/>
      <w:r>
        <w:t>1.3</w:t>
      </w:r>
      <w:r w:rsidRPr="00375DE4">
        <w:tab/>
      </w:r>
      <w:r w:rsidRPr="00890FD7">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11EDA8D6" w14:textId="46147D7A"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576EFA">
        <w:rPr>
          <w:rFonts w:eastAsia="Arial Unicode MS" w:cs="Arial"/>
          <w:szCs w:val="22"/>
          <w:lang w:val="es-CL"/>
        </w:rPr>
        <w:t>Valparaíso</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ya sea a través de la plataforma de postulación y/o por el Agente Operador designado por Sercotec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Sercotec</w:t>
      </w:r>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Sercotec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No haber cumplido las obligaciones contractuales de un proyecto Sercotec,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Emprende, financiada con fondos regulares de Sercotec,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El emprendedor/a postulante debe estar dispuesto/a a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puede ser realizado con el rut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El beneficiario/a deberá entregar, a solicitud de Sercotec,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para lo cual Sercotec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1"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1"/>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2" w:name="_Toc77621515"/>
      <w:r w:rsidRPr="00436C81">
        <w:t>2. POSTULACIÓN</w:t>
      </w:r>
      <w:bookmarkEnd w:id="32"/>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3" w:name="_Toc345489756"/>
      <w:bookmarkStart w:id="34" w:name="_Toc413772560"/>
      <w:bookmarkStart w:id="35"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3"/>
      <w:bookmarkEnd w:id="34"/>
      <w:bookmarkEnd w:id="35"/>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6" w:name="_Toc413772561"/>
      <w:bookmarkStart w:id="37" w:name="_Toc77621517"/>
      <w:r w:rsidRPr="00154BCA">
        <w:t xml:space="preserve">2.2 </w:t>
      </w:r>
      <w:r w:rsidR="00EB1484" w:rsidRPr="00154BCA">
        <w:tab/>
      </w:r>
      <w:r w:rsidR="00112656" w:rsidRPr="00A3728B">
        <w:t>Pasos para postular</w:t>
      </w:r>
      <w:bookmarkEnd w:id="36"/>
      <w:bookmarkEnd w:id="37"/>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8" w:name="_Toc77621518"/>
      <w:r>
        <w:t>2.3</w:t>
      </w:r>
      <w:r w:rsidRPr="00154BCA">
        <w:t xml:space="preserve"> </w:t>
      </w:r>
      <w:r w:rsidRPr="00154BCA">
        <w:tab/>
      </w:r>
      <w:r>
        <w:t>Apoyo en el proceso de postulación</w:t>
      </w:r>
      <w:bookmarkEnd w:id="38"/>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FBAA0A0" w:rsidR="00A3728B" w:rsidRPr="00277722" w:rsidRDefault="00DA7E51" w:rsidP="00277722">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Sercotec dispondrá de Agentes Operadores. Para esta convocatoria, el Agente asignado es: </w:t>
      </w:r>
      <w:r w:rsidR="00277722" w:rsidRPr="00277722">
        <w:rPr>
          <w:szCs w:val="22"/>
          <w:bdr w:val="none" w:sz="0" w:space="0" w:color="auto" w:frame="1"/>
        </w:rPr>
        <w:t>Proaxis SpA</w:t>
      </w:r>
      <w:r w:rsidR="00277722">
        <w:rPr>
          <w:szCs w:val="22"/>
          <w:bdr w:val="none" w:sz="0" w:space="0" w:color="auto" w:frame="1"/>
        </w:rPr>
        <w:t>. Teléf</w:t>
      </w:r>
      <w:r w:rsidR="00277722" w:rsidRPr="00277722">
        <w:rPr>
          <w:szCs w:val="22"/>
          <w:bdr w:val="none" w:sz="0" w:space="0" w:color="auto" w:frame="1"/>
        </w:rPr>
        <w:t>ono: +56</w:t>
      </w:r>
      <w:r w:rsidR="00277722">
        <w:rPr>
          <w:szCs w:val="22"/>
          <w:bdr w:val="none" w:sz="0" w:space="0" w:color="auto" w:frame="1"/>
        </w:rPr>
        <w:t xml:space="preserve"> </w:t>
      </w:r>
      <w:r w:rsidR="00277722" w:rsidRPr="00277722">
        <w:rPr>
          <w:szCs w:val="22"/>
          <w:bdr w:val="none" w:sz="0" w:space="0" w:color="auto" w:frame="1"/>
        </w:rPr>
        <w:t>9</w:t>
      </w:r>
      <w:r w:rsidR="00277722">
        <w:rPr>
          <w:szCs w:val="22"/>
          <w:bdr w:val="none" w:sz="0" w:space="0" w:color="auto" w:frame="1"/>
        </w:rPr>
        <w:t xml:space="preserve"> </w:t>
      </w:r>
      <w:bookmarkStart w:id="39" w:name="_GoBack"/>
      <w:bookmarkEnd w:id="39"/>
      <w:r w:rsidR="00277722" w:rsidRPr="00277722">
        <w:rPr>
          <w:szCs w:val="22"/>
          <w:bdr w:val="none" w:sz="0" w:space="0" w:color="auto" w:frame="1"/>
        </w:rPr>
        <w:t>4697230</w:t>
      </w:r>
      <w:r w:rsidR="00277722">
        <w:rPr>
          <w:szCs w:val="22"/>
          <w:bdr w:val="none" w:sz="0" w:space="0" w:color="auto" w:frame="1"/>
        </w:rPr>
        <w:t>, c</w:t>
      </w:r>
      <w:r w:rsidR="00277722" w:rsidRPr="00277722">
        <w:rPr>
          <w:szCs w:val="22"/>
          <w:bdr w:val="none" w:sz="0" w:space="0" w:color="auto" w:frame="1"/>
        </w:rPr>
        <w:t xml:space="preserve">orreo electrónico: </w:t>
      </w:r>
      <w:hyperlink r:id="rId21" w:history="1">
        <w:r w:rsidR="00277722" w:rsidRPr="003F4C88">
          <w:rPr>
            <w:rStyle w:val="Hipervnculo"/>
            <w:szCs w:val="22"/>
            <w:bdr w:val="none" w:sz="0" w:space="0" w:color="auto" w:frame="1"/>
          </w:rPr>
          <w:t>Ignacio@proaxis.cl</w:t>
        </w:r>
      </w:hyperlink>
      <w:r w:rsidR="00277722">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02E43553"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r w:rsidRPr="00344441">
        <w:rPr>
          <w:rFonts w:cs="Arial"/>
          <w:iCs/>
          <w:szCs w:val="22"/>
          <w:lang w:val="es-CL"/>
        </w:rPr>
        <w:t>Sercotec</w:t>
      </w:r>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de Sercotec</w:t>
      </w:r>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w:t>
      </w:r>
      <w:r w:rsidR="00785095" w:rsidRPr="003C1FDF">
        <w:rPr>
          <w:rFonts w:eastAsia="Arial Unicode MS" w:cs="Arial"/>
          <w:szCs w:val="22"/>
          <w:lang w:val="es-CL"/>
        </w:rPr>
        <w:lastRenderedPageBreak/>
        <w:t xml:space="preserve">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Sercotec</w:t>
      </w:r>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lastRenderedPageBreak/>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ituación calificada por Sercotec</w:t>
      </w:r>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Sercotec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r w:rsidR="00713717" w:rsidRPr="00961F6A">
        <w:rPr>
          <w:rFonts w:cs="Arial"/>
          <w:szCs w:val="22"/>
        </w:rPr>
        <w:t xml:space="preserve">Sercotec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rut del/la </w:t>
            </w:r>
            <w:r w:rsidRPr="00762358">
              <w:rPr>
                <w:rFonts w:eastAsia="Arial Unicode MS" w:cs="Arial"/>
                <w:szCs w:val="22"/>
                <w:lang w:val="es-CL"/>
              </w:rPr>
              <w:lastRenderedPageBreak/>
              <w:t>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Sercotec.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r w:rsidR="00D831F9" w:rsidRPr="00231765">
        <w:rPr>
          <w:rFonts w:eastAsia="Arial Unicode MS" w:cs="Arial"/>
          <w:szCs w:val="22"/>
        </w:rPr>
        <w:t>Sercotec</w:t>
      </w:r>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Sercotec</w:t>
      </w:r>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r w:rsidR="00D831F9" w:rsidRPr="00D676A3">
        <w:rPr>
          <w:lang w:eastAsia="en-US"/>
        </w:rPr>
        <w:t>Sercotec,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lastRenderedPageBreak/>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Sercotec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de Sercote</w:t>
      </w:r>
      <w:r w:rsidR="005B0E38" w:rsidRPr="00816D87">
        <w:t>c</w:t>
      </w:r>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Sercotec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r w:rsidR="00FC41DA" w:rsidRPr="00231765">
        <w:rPr>
          <w:rFonts w:eastAsia="Arial Unicode MS" w:cs="Arial"/>
          <w:szCs w:val="22"/>
        </w:rPr>
        <w:t>S</w:t>
      </w:r>
      <w:r w:rsidR="00D30A5B" w:rsidRPr="00231765">
        <w:rPr>
          <w:rFonts w:eastAsia="Arial Unicode MS" w:cs="Arial"/>
          <w:szCs w:val="22"/>
        </w:rPr>
        <w:t>ercotec</w:t>
      </w:r>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Sercotec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lastRenderedPageBreak/>
              <w:t>Sercotec</w:t>
            </w:r>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En caso que haya saldos no ejecutados, el Agente Sercotec restituirá a Sercotec el monto del subsidio que no se haya ejecutado de manera previa a la fecha de suscripción de la resciliación.</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En el caso de término anticipado por causas imputables al beneficiario, éste no podrá postular al mismo instrumento que realice Sercotec a nivel nacional por un período de un año, contado desde la fecha de notificación del término del contrato. Lo anterior, sin perjuicio de que los incumplimientos en la ejecución del proyecto y/o cualquier otro incumplimiento, podrán ser considerados por Sercotec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lastRenderedPageBreak/>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4EC0385" w14:textId="26A2AE10" w:rsidR="004B0D21" w:rsidRDefault="004B0D21" w:rsidP="00D001A3">
      <w:pPr>
        <w:rPr>
          <w:szCs w:val="22"/>
          <w:lang w:val="es-CL"/>
        </w:rPr>
      </w:pPr>
    </w:p>
    <w:p w14:paraId="49FC7042" w14:textId="19BF6E36" w:rsidR="004B0D21" w:rsidRDefault="004B0D21" w:rsidP="00D001A3">
      <w:pPr>
        <w:rPr>
          <w:szCs w:val="22"/>
          <w:lang w:val="es-CL"/>
        </w:rPr>
      </w:pPr>
    </w:p>
    <w:p w14:paraId="5FF3C357" w14:textId="2D871224" w:rsidR="004B0D21" w:rsidRDefault="004B0D21" w:rsidP="00D001A3">
      <w:pPr>
        <w:rPr>
          <w:szCs w:val="22"/>
          <w:lang w:val="es-CL"/>
        </w:rPr>
      </w:pPr>
    </w:p>
    <w:p w14:paraId="31CFBAD5" w14:textId="3F0EA1F2" w:rsidR="004B0D21" w:rsidRDefault="004B0D21" w:rsidP="00D001A3">
      <w:pPr>
        <w:rPr>
          <w:szCs w:val="22"/>
          <w:lang w:val="es-CL"/>
        </w:rPr>
      </w:pPr>
    </w:p>
    <w:p w14:paraId="2F67A9D1" w14:textId="77777777" w:rsidR="004B0D21" w:rsidRDefault="004B0D21" w:rsidP="00D001A3">
      <w:pPr>
        <w:rPr>
          <w:szCs w:val="22"/>
          <w:lang w:val="es-CL"/>
        </w:rPr>
      </w:pPr>
    </w:p>
    <w:p w14:paraId="7D21CDC9" w14:textId="77777777"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E7FC60B"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576EFA">
        <w:rPr>
          <w:rFonts w:eastAsia="Arial Unicode MS" w:cs="Arial"/>
          <w:b/>
          <w:bCs/>
          <w:sz w:val="40"/>
          <w:szCs w:val="40"/>
        </w:rPr>
        <w:t>VALPARAÍSO</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debe considerar un monto de $1.000.000.- (neto) de subsidio Sercotec.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r w:rsidR="00F767D3" w:rsidRPr="001F128F">
              <w:rPr>
                <w:rFonts w:cs="Calibri"/>
                <w:sz w:val="18"/>
                <w:szCs w:val="18"/>
                <w:lang w:val="es-CL" w:eastAsia="en-US"/>
              </w:rPr>
              <w:t>sub</w:t>
            </w:r>
            <w:r w:rsidRPr="001F128F">
              <w:rPr>
                <w:rFonts w:cs="Calibri"/>
                <w:sz w:val="18"/>
                <w:szCs w:val="18"/>
                <w:lang w:val="es-CL" w:eastAsia="en-US"/>
              </w:rPr>
              <w:t xml:space="preserve">ítems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Emprende, financiada con fondos regulares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con información interna de Sercotec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emprendedor/a postulante debe estar dispuesto/a a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F59C76F" w:rsidR="003046D1" w:rsidRPr="00171768" w:rsidRDefault="00576EF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r w:rsidRPr="003A0B55">
              <w:rPr>
                <w:i/>
                <w:iCs/>
                <w:color w:val="000000" w:themeColor="text1"/>
                <w:sz w:val="20"/>
                <w:szCs w:val="20"/>
                <w:lang w:val="es-CL"/>
              </w:rPr>
              <w:t>Search engine optimization</w:t>
            </w:r>
            <w:r w:rsidRPr="003A0B55">
              <w:rPr>
                <w:color w:val="000000" w:themeColor="text1"/>
                <w:sz w:val="20"/>
                <w:szCs w:val="20"/>
                <w:lang w:val="es-CL"/>
              </w:rPr>
              <w:t xml:space="preserve">), gestión y publicación en redes sociales, </w:t>
            </w:r>
            <w:r w:rsidRPr="003A0B55">
              <w:rPr>
                <w:i/>
                <w:iCs/>
                <w:color w:val="000000" w:themeColor="text1"/>
                <w:sz w:val="20"/>
                <w:szCs w:val="20"/>
                <w:lang w:val="es-CL"/>
              </w:rPr>
              <w:t>mailing</w:t>
            </w:r>
            <w:r w:rsidRPr="003A0B55">
              <w:rPr>
                <w:color w:val="000000" w:themeColor="text1"/>
                <w:sz w:val="20"/>
                <w:szCs w:val="20"/>
                <w:lang w:val="es-CL"/>
              </w:rPr>
              <w:t>, comercio electrónico (</w:t>
            </w:r>
            <w:r w:rsidRPr="003A0B55">
              <w:rPr>
                <w:i/>
                <w:iCs/>
                <w:color w:val="000000" w:themeColor="text1"/>
                <w:sz w:val="20"/>
                <w:szCs w:val="20"/>
                <w:lang w:val="es-CL"/>
              </w:rPr>
              <w:t xml:space="preserve">e-commerce), </w:t>
            </w:r>
            <w:r w:rsidRPr="003A0B55">
              <w:rPr>
                <w:color w:val="000000" w:themeColor="text1"/>
                <w:sz w:val="20"/>
                <w:szCs w:val="20"/>
                <w:lang w:val="es-CL"/>
              </w:rPr>
              <w:t xml:space="preserve">publicidad </w:t>
            </w:r>
            <w:r w:rsidRPr="003A0B55">
              <w:rPr>
                <w:i/>
                <w:iCs/>
                <w:color w:val="000000" w:themeColor="text1"/>
                <w:sz w:val="20"/>
                <w:szCs w:val="20"/>
                <w:lang w:val="es-CL"/>
              </w:rPr>
              <w:t xml:space="preserve">display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34098A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576EFA">
        <w:rPr>
          <w:rFonts w:eastAsiaTheme="minorHAnsi" w:cstheme="minorBidi"/>
          <w:szCs w:val="22"/>
          <w:lang w:val="es-CL" w:eastAsia="en-US"/>
        </w:rPr>
        <w:t>de Valparaíso</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6BA39BB"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576EFA">
        <w:rPr>
          <w:b/>
        </w:rPr>
        <w:t>Valparaíso</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78718D1E"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576EFA">
        <w:rPr>
          <w:rFonts w:eastAsiaTheme="minorHAnsi" w:cstheme="minorBidi"/>
          <w:szCs w:val="22"/>
          <w:lang w:val="es-CL" w:eastAsia="en-US"/>
        </w:rPr>
        <w:t>Valparaíso</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20DFAFBE"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576EFA">
        <w:rPr>
          <w:b/>
          <w:szCs w:val="22"/>
        </w:rPr>
        <w:t>VALPARAÍSO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Coherencia en el formulario (Canvas),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téxtiles n.c.p</w:t>
            </w:r>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madera, de artículos de corcho, paja y materiales tranzables</w:t>
            </w:r>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computadores, equipo periférico, programas informáticos y equipo de telecom.</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telecomunicaciones alámbricas n.c.p.</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telecomunicaciones inalámbricas n.c.p.</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telecomunicaciones por satélite n.c.p.</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especializadas de diseño n.c.p.</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tipos de enseñanza n.c.p</w:t>
            </w:r>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producción de obras de teatro, conciertos, espectáculos de danza, otras prod.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creativas, artísticas y de entretenimiento n.c.p.</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esparcimiento y recreativas n.c.p.</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7CBE7" w14:textId="77777777" w:rsidR="00163B04" w:rsidRDefault="00163B04" w:rsidP="0042236C">
      <w:r>
        <w:separator/>
      </w:r>
    </w:p>
  </w:endnote>
  <w:endnote w:type="continuationSeparator" w:id="0">
    <w:p w14:paraId="7E1C91B8" w14:textId="77777777" w:rsidR="00163B04" w:rsidRDefault="00163B0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232F793" w:rsidR="00C611DC" w:rsidRPr="00BD14F7" w:rsidRDefault="00C611DC">
    <w:pPr>
      <w:pStyle w:val="Piedepgina"/>
      <w:jc w:val="right"/>
    </w:pPr>
    <w:r w:rsidRPr="00BD14F7">
      <w:fldChar w:fldCharType="begin"/>
    </w:r>
    <w:r w:rsidRPr="00BD14F7">
      <w:instrText>PAGE   \* MERGEFORMAT</w:instrText>
    </w:r>
    <w:r w:rsidRPr="00BD14F7">
      <w:fldChar w:fldCharType="separate"/>
    </w:r>
    <w:r w:rsidR="00277722">
      <w:rPr>
        <w:noProof/>
      </w:rPr>
      <w:t>14</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706E" w14:textId="77777777" w:rsidR="00163B04" w:rsidRDefault="00163B04"/>
  </w:footnote>
  <w:footnote w:type="continuationSeparator" w:id="0">
    <w:p w14:paraId="0D53128E" w14:textId="77777777" w:rsidR="00163B04" w:rsidRDefault="00163B04"/>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3B04"/>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722"/>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gnacio@proaxis.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F6446C5-24BA-42B6-8177-23D8939B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47</Pages>
  <Words>15395</Words>
  <Characters>84678</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99874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21</cp:revision>
  <cp:lastPrinted>2021-07-19T23:32:00Z</cp:lastPrinted>
  <dcterms:created xsi:type="dcterms:W3CDTF">2021-07-20T00:45:00Z</dcterms:created>
  <dcterms:modified xsi:type="dcterms:W3CDTF">2021-07-20T20:23:00Z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