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ANEXO Nº 1</w:t>
      </w:r>
      <w:r w:rsidDel="00000000" w:rsidR="00000000" w:rsidRPr="00000000">
        <w:rPr>
          <w:rFonts w:ascii="Palatino Linotype" w:cs="Palatino Linotype" w:eastAsia="Palatino Linotype" w:hAnsi="Palatino Linotype"/>
          <w:b w:val="1"/>
          <w:sz w:val="36"/>
          <w:szCs w:val="36"/>
          <w:rtl w:val="0"/>
        </w:rPr>
        <w:t xml:space="preserve">4</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DECLARACIÓN JURADA SIMPLE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i w:val="1"/>
          <w:sz w:val="20"/>
          <w:szCs w:val="20"/>
        </w:rPr>
      </w:pPr>
      <w:r w:rsidDel="00000000" w:rsidR="00000000" w:rsidRPr="00000000">
        <w:rPr>
          <w:rFonts w:ascii="Palatino Linotype" w:cs="Palatino Linotype" w:eastAsia="Palatino Linotype" w:hAnsi="Palatino Linotype"/>
          <w:i w:val="1"/>
          <w:sz w:val="20"/>
          <w:szCs w:val="20"/>
          <w:rtl w:val="0"/>
        </w:rPr>
        <w:t xml:space="preserve">RELATIVA A INTERESES Y CONFIDENCIALIDAD DEL EQUIPO DE CENTROS DE NEGOCIOS PROPUESTO POR OPERADORES DE SERCOTEC</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 Considerando que el Servicio de Cooperación Técnica, Sercotec, se encuentra entre aquellas entidades a través de las cuales el Estado realiza de forma indirecta actividades inherentes al cumplimiento de sus funciones, le resultan aplicables los principios básicos de gestión propios de derecho público, debiendo velar entonces por la observancia al principio de probidad administrativa consagrado en el artículo 8° de la Constitución Política de la República y desarrollado en ámbito legal, en el Título III de la Ley N° 18.575, “Orgánica Constitucional de Bases Generales de la Administración del Estado”, cuyos artículos 52 y 53, exigen de sus servidores una conducta intachable, así como un desempeño honesto y leal de la función o cargo, con preeminencia del interés general sobre el particular (véase los dictámenes N</w:t>
      </w:r>
      <w:r w:rsidDel="00000000" w:rsidR="00000000" w:rsidRPr="00000000">
        <w:rPr>
          <w:rFonts w:ascii="Palatino Linotype" w:cs="Palatino Linotype" w:eastAsia="Palatino Linotype" w:hAnsi="Palatino Linotype"/>
          <w:sz w:val="24"/>
          <w:szCs w:val="24"/>
          <w:vertAlign w:val="superscript"/>
          <w:rtl w:val="0"/>
        </w:rPr>
        <w:t xml:space="preserve">os</w:t>
      </w:r>
      <w:r w:rsidDel="00000000" w:rsidR="00000000" w:rsidRPr="00000000">
        <w:rPr>
          <w:rFonts w:ascii="Palatino Linotype" w:cs="Palatino Linotype" w:eastAsia="Palatino Linotype" w:hAnsi="Palatino Linotype"/>
          <w:sz w:val="24"/>
          <w:szCs w:val="24"/>
          <w:rtl w:val="0"/>
        </w:rPr>
        <w:t xml:space="preserve"> 44.554/10, 47.565/13 y 28.879/14, de la Contraloría General de la República).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 Por su parte, toda entidad seleccionada mediante concurso público para operar Centros de Negocios, queda vinculada con Sercotec, de manera tal, que el equipo propuesto para la operación y dependiente del operador respecto de obligaciones laborales, debe mantener una conducta intachable, fuera de cualquier conflicto de interés o incompatibilidad, y cumplir con un alto estándar de conducta, permitiendo a Sercotec asegurase que la ejecución de los recursos para el Programa Centros, serán gestionados por el equipo del operador seleccionado de forma transparente, al margen de situaciones que impliquen conflicto de interés, incluso potencial.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3.- Considerando lo anterior, para la presente etapa del concurso público, se hace necesario que el/la trabajador/a pueda declarar mediante el presente documento lo que a continuación se señala: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“Yo____________________________, RUN ____________________________, profesión u oficio _____________, estado civil _______________, domiciliado en ___________, cargo al que postula ____________, declaro bajo juramento:</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4"/>
          <w:szCs w:val="24"/>
          <w:rtl w:val="0"/>
        </w:rPr>
        <w:t xml:space="preserve">Recibir en el acto</w:t>
      </w:r>
      <w:r w:rsidDel="00000000" w:rsidR="00000000" w:rsidRPr="00000000">
        <w:rPr>
          <w:rFonts w:ascii="Palatino Linotype" w:cs="Palatino Linotype" w:eastAsia="Palatino Linotype" w:hAnsi="Palatino Linotype"/>
          <w:color w:val="000000"/>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información relacionada con la </w:t>
      </w:r>
      <w:r w:rsidDel="00000000" w:rsidR="00000000" w:rsidRPr="00000000">
        <w:rPr>
          <w:rFonts w:ascii="Palatino Linotype" w:cs="Palatino Linotype" w:eastAsia="Palatino Linotype" w:hAnsi="Palatino Linotype"/>
          <w:color w:val="000000"/>
          <w:sz w:val="24"/>
          <w:szCs w:val="24"/>
          <w:rtl w:val="0"/>
        </w:rPr>
        <w:t xml:space="preserve">normativa dictada por Sercotec, en especial, el Reglamento de Operadores de Centros, Bases de Concurso, Procedimiento Sancionatorio, Instructivo sobre Procedimiento de Selección de Profesionales de Centros.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 _____No______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Conocer que el cargo al que postula requiere un fiel cumplimiento de la Ley sobre Protección de Datos Personales, confidencialidad de la información, y observancia de las disposiciones relativas a la política de seguridad de la información del Servicio de Cooperación Técnica, Sercotec.</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Estar sujeto a las inhabilidades y/o incompatibilidades que se señalan o a cualquier otra circunstancia que implique un conflicto de intereses, incluso potencial, y que, en general, afecte el principio de probidad.</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Estar en cualquiera de los siguientes casos: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Parentesco hasta el 2do grado de consanguinidad o afinidad, inclusive, con miembros Directivos del Operador o de Sercotec.  </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Vínculos con empresas proveedoras o prestadora de servicios al Centro (empresas de publicidad, consultoras externas, etc.).</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Contratos vigentes o litigios pendientes con Sercotec.</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Participación en sociedades con contratos o litigios con Sercotec.</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Representación de sociedades con contratos o litigios con Sercotec.</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color w:val="222222"/>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08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Conocer que Sercotec, para asegurar la idoneidad del cargo, en la instancia de ajustes o durante su desempeño, se encontrará facultado para solicitar antecedentes adicionales a distintas entidades, tales como el Registro Civil, Conservador de Bienes Raíces, Servicios de Impuestos Internos, Tesorería General de la República, etc., con el propósito de iniciar investigaciones de eventuales incumplimientos relacionados con el presente documento, y que afecten su desempeño en el cargo, conforme a la normativa vigente.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jc w:val="both"/>
        <w:rPr>
          <w:rFonts w:ascii="Palatino Linotype" w:cs="Palatino Linotype" w:eastAsia="Palatino Linotype" w:hAnsi="Palatino Linotype"/>
          <w:color w:val="222222"/>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firstLine="348"/>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firstLine="708"/>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4.- Además se solicita declarar si se realiza alguna actividad remunerada adicional a los servicios prestados para el Centro. En caso afirmativo indicar de qué trata la actividad y en qué horario es realizada.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5.- Por último, se solicita declarar si realizan actividades docentes o capacitación. En caso afirmativo, señalar qué actividades, dónde y en qué horario se realizan.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Firma</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36"/>
          <w:szCs w:val="36"/>
        </w:rPr>
      </w:pPr>
      <w:r w:rsidDel="00000000" w:rsidR="00000000" w:rsidRPr="00000000">
        <w:rPr>
          <w:rFonts w:ascii="Palatino Linotype" w:cs="Palatino Linotype" w:eastAsia="Palatino Linotype" w:hAnsi="Palatino Linotype"/>
          <w:sz w:val="24"/>
          <w:szCs w:val="24"/>
          <w:rtl w:val="0"/>
        </w:rPr>
        <w:t xml:space="preserve">Run</w:t>
      </w: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Verdana"/>
  <w:font w:name="Palatino Linotyp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Fonts w:ascii="Cambria" w:cs="Cambria" w:eastAsia="Cambria" w:hAnsi="Cambria"/>
      </w:rPr>
      <w:drawing>
        <wp:inline distB="114300" distT="114300" distL="114300" distR="114300">
          <wp:extent cx="1070610" cy="508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0610" cy="508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080" w:hanging="1080"/>
      </w:pPr>
      <w:rPr>
        <w:rFonts w:ascii="Arial" w:cs="Arial" w:eastAsia="Arial" w:hAnsi="Arial"/>
        <w:b w:val="0"/>
        <w:i w:val="1"/>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