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2B147E2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18B6A1FD" w14:textId="002D9B69" w:rsidR="00C302BA" w:rsidRPr="00303C5A" w:rsidRDefault="00303C5A" w:rsidP="00762C77">
      <w:pPr>
        <w:tabs>
          <w:tab w:val="left" w:pos="1650"/>
          <w:tab w:val="center" w:pos="4419"/>
        </w:tabs>
        <w:spacing w:before="240" w:after="240"/>
        <w:jc w:val="center"/>
        <w:rPr>
          <w:rFonts w:ascii="gobCL" w:eastAsia="gobCL" w:hAnsi="gobCL" w:cs="gobCL"/>
          <w:b/>
          <w:color w:val="000000"/>
          <w:sz w:val="28"/>
          <w:szCs w:val="36"/>
        </w:rPr>
      </w:pPr>
      <w:r w:rsidRPr="00303C5A">
        <w:rPr>
          <w:rFonts w:ascii="gobCL" w:eastAsia="gobCL" w:hAnsi="gobCL" w:cs="gobCL"/>
          <w:b/>
          <w:color w:val="000000"/>
          <w:sz w:val="28"/>
          <w:szCs w:val="36"/>
        </w:rPr>
        <w:t>PROVINCIAS DE CORDILLERA</w:t>
      </w:r>
      <w:r>
        <w:rPr>
          <w:rFonts w:ascii="gobCL" w:eastAsia="gobCL" w:hAnsi="gobCL" w:cs="gobCL"/>
          <w:b/>
          <w:color w:val="000000"/>
          <w:sz w:val="28"/>
          <w:szCs w:val="36"/>
        </w:rPr>
        <w:t xml:space="preserve">, MAIPO, CHACABUCO, </w:t>
      </w:r>
      <w:r w:rsidR="00762C77">
        <w:rPr>
          <w:rFonts w:ascii="gobCL" w:eastAsia="gobCL" w:hAnsi="gobCL" w:cs="gobCL"/>
          <w:b/>
          <w:color w:val="000000"/>
          <w:sz w:val="28"/>
          <w:szCs w:val="36"/>
        </w:rPr>
        <w:t>TALAGANTE Y</w:t>
      </w:r>
      <w:r>
        <w:rPr>
          <w:rFonts w:ascii="gobCL" w:eastAsia="gobCL" w:hAnsi="gobCL" w:cs="gobCL"/>
          <w:b/>
          <w:color w:val="000000"/>
          <w:sz w:val="28"/>
          <w:szCs w:val="36"/>
        </w:rPr>
        <w:t xml:space="preserve"> </w:t>
      </w:r>
      <w:r w:rsidRPr="00303C5A">
        <w:rPr>
          <w:rFonts w:ascii="gobCL" w:eastAsia="gobCL" w:hAnsi="gobCL" w:cs="gobCL"/>
          <w:b/>
          <w:color w:val="000000"/>
          <w:sz w:val="28"/>
          <w:szCs w:val="36"/>
        </w:rPr>
        <w:t>MELIPILLA</w:t>
      </w:r>
      <w:r w:rsidRPr="00303C5A">
        <w:rPr>
          <w:rFonts w:ascii="Helvetica" w:hAnsi="Helvetica"/>
          <w:color w:val="000000"/>
          <w:sz w:val="16"/>
          <w:szCs w:val="20"/>
          <w:shd w:val="clear" w:color="auto" w:fill="FFFFFF"/>
        </w:rPr>
        <w:t>.</w:t>
      </w: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26665676" w14:textId="2AA0AB1B" w:rsidR="00B43377" w:rsidRDefault="00B80341"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Metropolitana</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3746B347" w14:textId="77777777" w:rsidR="001378AD" w:rsidRPr="001378AD" w:rsidRDefault="001378AD" w:rsidP="001378AD">
      <w:pPr>
        <w:spacing w:before="240" w:after="240"/>
        <w:jc w:val="both"/>
        <w:rPr>
          <w:rFonts w:ascii="gobCL" w:eastAsia="gobCL" w:hAnsi="gobCL" w:cs="gobCL"/>
        </w:rPr>
      </w:pPr>
      <w:r w:rsidRPr="001378AD">
        <w:rPr>
          <w:rFonts w:ascii="gobCL" w:eastAsia="gobCL" w:hAnsi="gobCL" w:cs="gobCL"/>
        </w:rPr>
        <w:lastRenderedPageBreak/>
        <w:t xml:space="preserve">Para apoyar la reactivación de su actividad económica, </w:t>
      </w:r>
      <w:proofErr w:type="spellStart"/>
      <w:r w:rsidRPr="001378AD">
        <w:rPr>
          <w:rFonts w:ascii="gobCL" w:eastAsia="gobCL" w:hAnsi="gobCL" w:cs="gobCL"/>
        </w:rPr>
        <w:t>Sercotec</w:t>
      </w:r>
      <w:proofErr w:type="spellEnd"/>
      <w:r w:rsidRPr="001378AD">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01349065"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535D12">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7B9A17DC" w:rsidR="00CF17EC" w:rsidRPr="00040440"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 xml:space="preserve">Tener domicilio </w:t>
      </w:r>
      <w:r w:rsidR="00303C5A">
        <w:rPr>
          <w:rFonts w:ascii="gobCL" w:eastAsia="gobCL" w:hAnsi="gobCL" w:cs="gobCL"/>
          <w:color w:val="000000"/>
        </w:rPr>
        <w:t xml:space="preserve">en las provincias de </w:t>
      </w:r>
      <w:r w:rsidR="00303C5A" w:rsidRPr="00303C5A">
        <w:rPr>
          <w:rFonts w:ascii="gobCL" w:eastAsia="gobCL" w:hAnsi="gobCL" w:cs="gobCL"/>
          <w:color w:val="000000"/>
        </w:rPr>
        <w:t>Cordillera, Maipo, Chacabuco, Talagante o Melipilla</w:t>
      </w:r>
      <w:r w:rsidR="00303C5A">
        <w:rPr>
          <w:rFonts w:ascii="gobCL" w:eastAsia="gobCL" w:hAnsi="gobCL" w:cs="gobCL"/>
          <w:color w:val="000000"/>
        </w:rPr>
        <w:t xml:space="preserve"> (comunas de: </w:t>
      </w:r>
      <w:r w:rsidR="00303C5A" w:rsidRPr="00303C5A">
        <w:rPr>
          <w:rFonts w:ascii="gobCL" w:eastAsia="gobCL" w:hAnsi="gobCL" w:cs="gobCL"/>
          <w:color w:val="000000"/>
        </w:rPr>
        <w:t xml:space="preserve">Puente Alto, San José de Maipo, </w:t>
      </w:r>
      <w:proofErr w:type="spellStart"/>
      <w:r w:rsidR="00303C5A" w:rsidRPr="00303C5A">
        <w:rPr>
          <w:rFonts w:ascii="gobCL" w:eastAsia="gobCL" w:hAnsi="gobCL" w:cs="gobCL"/>
          <w:color w:val="000000"/>
        </w:rPr>
        <w:t>Pirque</w:t>
      </w:r>
      <w:proofErr w:type="spellEnd"/>
      <w:r w:rsidR="00303C5A" w:rsidRPr="00303C5A">
        <w:rPr>
          <w:rFonts w:ascii="gobCL" w:eastAsia="gobCL" w:hAnsi="gobCL" w:cs="gobCL"/>
          <w:color w:val="000000"/>
        </w:rPr>
        <w:t xml:space="preserve">, El Monte, Isla de Maipo, Padre </w:t>
      </w:r>
      <w:r w:rsidR="00303C5A">
        <w:rPr>
          <w:rFonts w:ascii="gobCL" w:eastAsia="gobCL" w:hAnsi="gobCL" w:cs="gobCL"/>
          <w:color w:val="000000"/>
        </w:rPr>
        <w:lastRenderedPageBreak/>
        <w:t xml:space="preserve">Hurtado, </w:t>
      </w:r>
      <w:proofErr w:type="spellStart"/>
      <w:r w:rsidR="00303C5A" w:rsidRPr="00303C5A">
        <w:rPr>
          <w:rFonts w:ascii="gobCL" w:eastAsia="gobCL" w:hAnsi="gobCL" w:cs="gobCL"/>
          <w:color w:val="000000"/>
        </w:rPr>
        <w:t>Peñaflor</w:t>
      </w:r>
      <w:proofErr w:type="spellEnd"/>
      <w:r w:rsidR="00303C5A" w:rsidRPr="00303C5A">
        <w:rPr>
          <w:rFonts w:ascii="gobCL" w:eastAsia="gobCL" w:hAnsi="gobCL" w:cs="gobCL"/>
          <w:color w:val="000000"/>
        </w:rPr>
        <w:t>, Talagante. San Bernard</w:t>
      </w:r>
      <w:r w:rsidR="00303C5A">
        <w:rPr>
          <w:rFonts w:ascii="gobCL" w:eastAsia="gobCL" w:hAnsi="gobCL" w:cs="gobCL"/>
          <w:color w:val="000000"/>
        </w:rPr>
        <w:t xml:space="preserve">o, Calera de Tango, Buin, </w:t>
      </w:r>
      <w:proofErr w:type="spellStart"/>
      <w:r w:rsidR="00303C5A">
        <w:rPr>
          <w:rFonts w:ascii="gobCL" w:eastAsia="gobCL" w:hAnsi="gobCL" w:cs="gobCL"/>
          <w:color w:val="000000"/>
        </w:rPr>
        <w:t>Paine</w:t>
      </w:r>
      <w:proofErr w:type="spellEnd"/>
      <w:r w:rsidR="00303C5A">
        <w:rPr>
          <w:rFonts w:ascii="gobCL" w:eastAsia="gobCL" w:hAnsi="gobCL" w:cs="gobCL"/>
          <w:color w:val="000000"/>
        </w:rPr>
        <w:t xml:space="preserve">, Colina, Lampa, </w:t>
      </w:r>
      <w:proofErr w:type="spellStart"/>
      <w:r w:rsidR="00303C5A">
        <w:rPr>
          <w:rFonts w:ascii="gobCL" w:eastAsia="gobCL" w:hAnsi="gobCL" w:cs="gobCL"/>
          <w:color w:val="000000"/>
        </w:rPr>
        <w:t>Til-Til</w:t>
      </w:r>
      <w:proofErr w:type="spellEnd"/>
      <w:r w:rsidR="00303C5A">
        <w:rPr>
          <w:rFonts w:ascii="gobCL" w:eastAsia="gobCL" w:hAnsi="gobCL" w:cs="gobCL"/>
          <w:color w:val="000000"/>
        </w:rPr>
        <w:t xml:space="preserve">, </w:t>
      </w:r>
      <w:proofErr w:type="spellStart"/>
      <w:r w:rsidR="00303C5A">
        <w:rPr>
          <w:rFonts w:ascii="gobCL" w:eastAsia="gobCL" w:hAnsi="gobCL" w:cs="gobCL"/>
          <w:color w:val="000000"/>
        </w:rPr>
        <w:t>Alhué</w:t>
      </w:r>
      <w:proofErr w:type="spellEnd"/>
      <w:r w:rsidR="00303C5A">
        <w:rPr>
          <w:rFonts w:ascii="gobCL" w:eastAsia="gobCL" w:hAnsi="gobCL" w:cs="gobCL"/>
          <w:color w:val="000000"/>
        </w:rPr>
        <w:t xml:space="preserve">, </w:t>
      </w:r>
      <w:proofErr w:type="spellStart"/>
      <w:r w:rsidR="00303C5A" w:rsidRPr="00303C5A">
        <w:rPr>
          <w:rFonts w:ascii="gobCL" w:eastAsia="gobCL" w:hAnsi="gobCL" w:cs="gobCL"/>
          <w:color w:val="000000"/>
        </w:rPr>
        <w:t>Curacaví</w:t>
      </w:r>
      <w:proofErr w:type="spellEnd"/>
      <w:r w:rsidR="00303C5A" w:rsidRPr="00303C5A">
        <w:rPr>
          <w:rFonts w:ascii="gobCL" w:eastAsia="gobCL" w:hAnsi="gobCL" w:cs="gobCL"/>
          <w:color w:val="000000"/>
        </w:rPr>
        <w:t>, María Pinto, Melipilla y San Pedro).</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56CDFBF4"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5C4F85" w:rsidRPr="005C4F85">
        <w:rPr>
          <w:rFonts w:ascii="gobCL" w:eastAsia="gobCL" w:hAnsi="gobCL" w:cs="gobCL"/>
          <w:bCs/>
          <w:iCs/>
          <w:color w:val="000000"/>
        </w:rPr>
        <w:t xml:space="preserve">No haber sido beneficiario de las convocatorias Reactívate de </w:t>
      </w:r>
      <w:proofErr w:type="spellStart"/>
      <w:r w:rsidR="005C4F85" w:rsidRPr="005C4F85">
        <w:rPr>
          <w:rFonts w:ascii="gobCL" w:eastAsia="gobCL" w:hAnsi="gobCL" w:cs="gobCL"/>
          <w:bCs/>
          <w:iCs/>
          <w:color w:val="000000"/>
        </w:rPr>
        <w:t>Sercotec</w:t>
      </w:r>
      <w:proofErr w:type="spellEnd"/>
      <w:r w:rsidR="005C4F85" w:rsidRPr="005C4F85">
        <w:rPr>
          <w:rFonts w:ascii="gobCL" w:eastAsia="gobCL" w:hAnsi="gobCL" w:cs="gobCL"/>
          <w:bCs/>
          <w:iCs/>
          <w:color w:val="000000"/>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sidR="005C4F85">
        <w:rPr>
          <w:rFonts w:ascii="gobCL" w:eastAsia="gobCL" w:hAnsi="gobCL" w:cs="gobCL"/>
          <w:bCs/>
          <w:iCs/>
          <w:color w:val="000000"/>
        </w:rPr>
        <w:t xml:space="preserve"> </w:t>
      </w:r>
      <w:r w:rsidR="00191CD8" w:rsidRPr="00191CD8">
        <w:rPr>
          <w:rFonts w:ascii="gobCL" w:eastAsia="gobCL" w:hAnsi="gobCL" w:cs="gobCL"/>
          <w:bCs/>
          <w:iCs/>
          <w:color w:val="000000"/>
        </w:rPr>
        <w:t xml:space="preserve">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lastRenderedPageBreak/>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lastRenderedPageBreak/>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362062ED" w:rsidR="00191BC1" w:rsidRPr="00191BC1" w:rsidRDefault="005C4F85" w:rsidP="00191BC1">
      <w:pPr>
        <w:pStyle w:val="Prrafodelista"/>
        <w:numPr>
          <w:ilvl w:val="0"/>
          <w:numId w:val="7"/>
        </w:numPr>
        <w:spacing w:line="276" w:lineRule="auto"/>
        <w:jc w:val="both"/>
        <w:rPr>
          <w:rFonts w:ascii="gobCL" w:eastAsia="gobCL" w:hAnsi="gobCL" w:cs="gobCL"/>
          <w:color w:val="000000"/>
        </w:rPr>
      </w:pPr>
      <w:r w:rsidRPr="005C4F85">
        <w:rPr>
          <w:rFonts w:ascii="gobCL" w:eastAsia="gobCL" w:hAnsi="gobCL" w:cs="gobCL"/>
          <w:bCs/>
          <w:iCs/>
          <w:color w:val="000000"/>
        </w:rPr>
        <w:t xml:space="preserve">No haber sido beneficiario de las convocatorias Reactívate de </w:t>
      </w:r>
      <w:proofErr w:type="spellStart"/>
      <w:r w:rsidRPr="005C4F85">
        <w:rPr>
          <w:rFonts w:ascii="gobCL" w:eastAsia="gobCL" w:hAnsi="gobCL" w:cs="gobCL"/>
          <w:bCs/>
          <w:iCs/>
          <w:color w:val="000000"/>
        </w:rPr>
        <w:t>Sercotec</w:t>
      </w:r>
      <w:proofErr w:type="spellEnd"/>
      <w:r w:rsidRPr="005C4F85">
        <w:rPr>
          <w:rFonts w:ascii="gobCL" w:eastAsia="gobCL" w:hAnsi="gobCL" w:cs="gobCL"/>
          <w:bCs/>
          <w:iCs/>
          <w:color w:val="000000"/>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
    <w:p w14:paraId="14AD0B43" w14:textId="645149FD" w:rsidR="0046475F" w:rsidRDefault="0046475F" w:rsidP="006230F9">
      <w:pPr>
        <w:pStyle w:val="Prrafodelista"/>
        <w:numPr>
          <w:ilvl w:val="0"/>
          <w:numId w:val="7"/>
        </w:numPr>
        <w:spacing w:line="276" w:lineRule="auto"/>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w:t>
      </w:r>
      <w:r w:rsidR="00E81D8A">
        <w:rPr>
          <w:rFonts w:ascii="gobCL" w:eastAsia="gobCL" w:hAnsi="gobCL" w:cs="gobCL"/>
          <w:color w:val="000000"/>
        </w:rPr>
        <w:t xml:space="preserve">, respecto del inmueble en el cual se habilita, </w:t>
      </w:r>
      <w:r w:rsidRPr="0046475F">
        <w:rPr>
          <w:rFonts w:ascii="gobCL" w:eastAsia="gobCL" w:hAnsi="gobCL" w:cs="gobCL"/>
          <w:color w:val="000000"/>
        </w:rPr>
        <w:t xml:space="preserve">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Pr>
          <w:rFonts w:ascii="gobCL" w:eastAsia="gobCL" w:hAnsi="gobCL" w:cs="gobCL"/>
          <w:color w:val="000000"/>
        </w:rPr>
        <w:t xml:space="preserve">del inmueble </w:t>
      </w:r>
      <w:r w:rsidRPr="0046475F">
        <w:rPr>
          <w:rFonts w:ascii="gobCL" w:eastAsia="gobCL" w:hAnsi="gobCL" w:cs="gobCL"/>
          <w:color w:val="000000"/>
        </w:rPr>
        <w:t>a la empresa.</w:t>
      </w:r>
    </w:p>
    <w:p w14:paraId="079AE567" w14:textId="77777777" w:rsidR="00303C5A" w:rsidRPr="00303C5A" w:rsidRDefault="00303C5A" w:rsidP="00303C5A">
      <w:pPr>
        <w:pStyle w:val="Prrafodelista"/>
        <w:numPr>
          <w:ilvl w:val="0"/>
          <w:numId w:val="7"/>
        </w:numPr>
        <w:pBdr>
          <w:top w:val="nil"/>
          <w:left w:val="nil"/>
          <w:bottom w:val="nil"/>
          <w:right w:val="nil"/>
          <w:between w:val="nil"/>
        </w:pBdr>
        <w:spacing w:after="0"/>
        <w:jc w:val="both"/>
        <w:rPr>
          <w:rFonts w:ascii="gobCL" w:eastAsia="gobCL" w:hAnsi="gobCL" w:cs="gobCL"/>
          <w:b/>
        </w:rPr>
      </w:pPr>
      <w:r w:rsidRPr="00303C5A">
        <w:rPr>
          <w:rFonts w:ascii="gobCL" w:eastAsia="gobCL" w:hAnsi="gobCL" w:cs="gobCL"/>
          <w:color w:val="000000"/>
        </w:rPr>
        <w:t xml:space="preserve">Tener domicilio en las provincias de Cordillera, Maipo, Chacabuco, Talagante o Melipilla (comunas de: Puente Alto, San José de Maipo, </w:t>
      </w:r>
      <w:proofErr w:type="spellStart"/>
      <w:r w:rsidRPr="00303C5A">
        <w:rPr>
          <w:rFonts w:ascii="gobCL" w:eastAsia="gobCL" w:hAnsi="gobCL" w:cs="gobCL"/>
          <w:color w:val="000000"/>
        </w:rPr>
        <w:t>Pirque</w:t>
      </w:r>
      <w:proofErr w:type="spellEnd"/>
      <w:r w:rsidRPr="00303C5A">
        <w:rPr>
          <w:rFonts w:ascii="gobCL" w:eastAsia="gobCL" w:hAnsi="gobCL" w:cs="gobCL"/>
          <w:color w:val="000000"/>
        </w:rPr>
        <w:t xml:space="preserve">, El Monte, Isla de Maipo, Padre Hurtado, </w:t>
      </w:r>
      <w:proofErr w:type="spellStart"/>
      <w:r w:rsidRPr="00303C5A">
        <w:rPr>
          <w:rFonts w:ascii="gobCL" w:eastAsia="gobCL" w:hAnsi="gobCL" w:cs="gobCL"/>
          <w:color w:val="000000"/>
        </w:rPr>
        <w:t>Peñaflor</w:t>
      </w:r>
      <w:proofErr w:type="spellEnd"/>
      <w:r w:rsidRPr="00303C5A">
        <w:rPr>
          <w:rFonts w:ascii="gobCL" w:eastAsia="gobCL" w:hAnsi="gobCL" w:cs="gobCL"/>
          <w:color w:val="000000"/>
        </w:rPr>
        <w:t xml:space="preserve">, Talagante. San Bernardo, Calera de Tango, Buin, </w:t>
      </w:r>
      <w:proofErr w:type="spellStart"/>
      <w:r w:rsidRPr="00303C5A">
        <w:rPr>
          <w:rFonts w:ascii="gobCL" w:eastAsia="gobCL" w:hAnsi="gobCL" w:cs="gobCL"/>
          <w:color w:val="000000"/>
        </w:rPr>
        <w:t>Paine</w:t>
      </w:r>
      <w:proofErr w:type="spellEnd"/>
      <w:r w:rsidRPr="00303C5A">
        <w:rPr>
          <w:rFonts w:ascii="gobCL" w:eastAsia="gobCL" w:hAnsi="gobCL" w:cs="gobCL"/>
          <w:color w:val="000000"/>
        </w:rPr>
        <w:t xml:space="preserve">, Colina, Lampa, </w:t>
      </w:r>
      <w:proofErr w:type="spellStart"/>
      <w:r w:rsidRPr="00303C5A">
        <w:rPr>
          <w:rFonts w:ascii="gobCL" w:eastAsia="gobCL" w:hAnsi="gobCL" w:cs="gobCL"/>
          <w:color w:val="000000"/>
        </w:rPr>
        <w:t>Til-Til</w:t>
      </w:r>
      <w:proofErr w:type="spellEnd"/>
      <w:r w:rsidRPr="00303C5A">
        <w:rPr>
          <w:rFonts w:ascii="gobCL" w:eastAsia="gobCL" w:hAnsi="gobCL" w:cs="gobCL"/>
          <w:color w:val="000000"/>
        </w:rPr>
        <w:t xml:space="preserve">, </w:t>
      </w:r>
      <w:proofErr w:type="spellStart"/>
      <w:r w:rsidRPr="00303C5A">
        <w:rPr>
          <w:rFonts w:ascii="gobCL" w:eastAsia="gobCL" w:hAnsi="gobCL" w:cs="gobCL"/>
          <w:color w:val="000000"/>
        </w:rPr>
        <w:t>Alhué</w:t>
      </w:r>
      <w:proofErr w:type="spellEnd"/>
      <w:r w:rsidRPr="00303C5A">
        <w:rPr>
          <w:rFonts w:ascii="gobCL" w:eastAsia="gobCL" w:hAnsi="gobCL" w:cs="gobCL"/>
          <w:color w:val="000000"/>
        </w:rPr>
        <w:t xml:space="preserve">, </w:t>
      </w:r>
      <w:proofErr w:type="spellStart"/>
      <w:r w:rsidRPr="00303C5A">
        <w:rPr>
          <w:rFonts w:ascii="gobCL" w:eastAsia="gobCL" w:hAnsi="gobCL" w:cs="gobCL"/>
          <w:color w:val="000000"/>
        </w:rPr>
        <w:t>Curacaví</w:t>
      </w:r>
      <w:proofErr w:type="spellEnd"/>
      <w:r w:rsidRPr="00303C5A">
        <w:rPr>
          <w:rFonts w:ascii="gobCL" w:eastAsia="gobCL" w:hAnsi="gobCL" w:cs="gobCL"/>
          <w:color w:val="000000"/>
        </w:rPr>
        <w:t>, María Pinto, Melipilla y San Pedro).</w:t>
      </w:r>
    </w:p>
    <w:p w14:paraId="5B592EA7" w14:textId="77777777" w:rsidR="00303C5A" w:rsidRDefault="00303C5A" w:rsidP="00303C5A">
      <w:pPr>
        <w:pBdr>
          <w:top w:val="nil"/>
          <w:left w:val="nil"/>
          <w:bottom w:val="nil"/>
          <w:right w:val="nil"/>
          <w:between w:val="nil"/>
        </w:pBdr>
        <w:spacing w:after="0"/>
        <w:jc w:val="both"/>
        <w:rPr>
          <w:rFonts w:ascii="gobCL" w:eastAsia="gobCL" w:hAnsi="gobCL" w:cs="gobCL"/>
          <w:b/>
        </w:rPr>
      </w:pPr>
    </w:p>
    <w:p w14:paraId="5EB58F79" w14:textId="27E6C67B" w:rsidR="002862B1" w:rsidRPr="00303C5A" w:rsidRDefault="007C48F8" w:rsidP="00303C5A">
      <w:pPr>
        <w:pBdr>
          <w:top w:val="nil"/>
          <w:left w:val="nil"/>
          <w:bottom w:val="nil"/>
          <w:right w:val="nil"/>
          <w:between w:val="nil"/>
        </w:pBdr>
        <w:spacing w:after="0"/>
        <w:jc w:val="both"/>
        <w:rPr>
          <w:rFonts w:ascii="gobCL" w:eastAsia="gobCL" w:hAnsi="gobCL" w:cs="gobCL"/>
          <w:b/>
        </w:rPr>
      </w:pPr>
      <w:r w:rsidRPr="00303C5A">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lastRenderedPageBreak/>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w:t>
      </w:r>
      <w:r w:rsidRPr="00163644">
        <w:rPr>
          <w:rFonts w:ascii="gobCL" w:eastAsia="gobCL" w:hAnsi="gobCL" w:cs="gobCL"/>
        </w:rPr>
        <w:lastRenderedPageBreak/>
        <w:t xml:space="preserve">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w:t>
      </w:r>
      <w:r w:rsidR="00A375DC" w:rsidRPr="00A375DC">
        <w:rPr>
          <w:rFonts w:ascii="gobCL" w:eastAsia="gobCL" w:hAnsi="gobCL" w:cs="gobCL"/>
          <w:lang w:val="es-ES"/>
        </w:rPr>
        <w:lastRenderedPageBreak/>
        <w:t xml:space="preserve">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w:t>
      </w:r>
      <w:r w:rsidRPr="00CA75E0">
        <w:rPr>
          <w:rFonts w:ascii="gobCL" w:eastAsia="gobCL" w:hAnsi="gobCL" w:cs="gobCL"/>
          <w:color w:val="000000"/>
        </w:rPr>
        <w:lastRenderedPageBreak/>
        <w:t xml:space="preserve">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4A77B793"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lastRenderedPageBreak/>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13</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w:t>
      </w:r>
      <w:r w:rsidR="000B4F53">
        <w:rPr>
          <w:rFonts w:ascii="gobCL" w:eastAsia="gobCL" w:hAnsi="gobCL" w:cs="gobCL"/>
          <w:b/>
        </w:rPr>
        <w:t>6</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2E228888" w14:textId="77777777" w:rsidR="0034178A" w:rsidRPr="00CA75E0" w:rsidRDefault="0034178A">
            <w:pPr>
              <w:jc w:val="both"/>
              <w:rPr>
                <w:rFonts w:ascii="gobCL" w:eastAsia="gobCL" w:hAnsi="gobCL" w:cs="gobCL"/>
                <w:b/>
                <w:sz w:val="22"/>
                <w:szCs w:val="22"/>
                <w:u w:val="single"/>
              </w:rPr>
            </w:pP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521B303" w:rsidR="002862B1" w:rsidRPr="00CA75E0" w:rsidRDefault="00FE6E1A">
            <w:pPr>
              <w:jc w:val="both"/>
              <w:rPr>
                <w:rFonts w:ascii="gobCL" w:eastAsia="gobCL" w:hAnsi="gobCL" w:cs="gobCL"/>
              </w:rPr>
            </w:pPr>
            <w:r w:rsidRPr="00FE6E1A">
              <w:rPr>
                <w:rFonts w:ascii="gobCL" w:eastAsia="gobCL" w:hAnsi="gobCL" w:cs="gobCL"/>
                <w:sz w:val="22"/>
                <w:szCs w:val="22"/>
              </w:rPr>
              <w:t>Una misma persona natural no podrá ser beneficiada más de una vez. Asimismo, no podrá ser beneficiada la persona jurídica cuyos socios o accionistas o la misma empresa tengan el 50% o más de participación en otra que haya sido beneficiada en la presente convocatoria. De la misma forma, si una persona natural tiene una participación de 50% o más, en más de una persona jurídica, sólo podrá una de éstas resultar beneficiaria.</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w:t>
      </w:r>
      <w:r w:rsidR="00C07285" w:rsidRPr="00DA5986">
        <w:rPr>
          <w:rFonts w:ascii="gobCL" w:eastAsia="gobCL" w:hAnsi="gobCL" w:cs="gobCL"/>
          <w:color w:val="000000"/>
        </w:rPr>
        <w:lastRenderedPageBreak/>
        <w:t>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75E0EF59" w14:textId="5AFBF150" w:rsidR="005E0599" w:rsidRDefault="00303C5A">
      <w:pPr>
        <w:spacing w:before="240" w:after="240" w:line="240" w:lineRule="auto"/>
        <w:jc w:val="both"/>
        <w:rPr>
          <w:rFonts w:ascii="gobCL" w:eastAsia="gobCL" w:hAnsi="gobCL" w:cs="gobCL"/>
        </w:rPr>
      </w:pPr>
      <w:r w:rsidRPr="00303C5A">
        <w:rPr>
          <w:rFonts w:ascii="gobCL" w:eastAsia="gobCL" w:hAnsi="gobCL" w:cs="gobCL"/>
        </w:rPr>
        <w:t xml:space="preserve">Para que las personas interesadas realicen consultas, </w:t>
      </w:r>
      <w:proofErr w:type="spellStart"/>
      <w:r w:rsidRPr="00303C5A">
        <w:rPr>
          <w:rFonts w:ascii="gobCL" w:eastAsia="gobCL" w:hAnsi="gobCL" w:cs="gobCL"/>
        </w:rPr>
        <w:t>Sercotec</w:t>
      </w:r>
      <w:proofErr w:type="spellEnd"/>
      <w:r w:rsidRPr="00303C5A">
        <w:rPr>
          <w:rFonts w:ascii="gobCL" w:eastAsia="gobCL" w:hAnsi="gobCL" w:cs="gobCL"/>
        </w:rPr>
        <w:t xml:space="preserve"> dispondrá</w:t>
      </w:r>
      <w:r w:rsidR="006E6C9D">
        <w:rPr>
          <w:rFonts w:ascii="gobCL" w:eastAsia="gobCL" w:hAnsi="gobCL" w:cs="gobCL"/>
        </w:rPr>
        <w:t xml:space="preserve"> </w:t>
      </w:r>
      <w:bookmarkStart w:id="3" w:name="_GoBack"/>
      <w:bookmarkEnd w:id="3"/>
      <w:r w:rsidR="006E6C9D">
        <w:rPr>
          <w:rFonts w:ascii="gobCL" w:eastAsia="gobCL" w:hAnsi="gobCL" w:cs="gobCL"/>
        </w:rPr>
        <w:t>de</w:t>
      </w:r>
      <w:r w:rsidRPr="00303C5A">
        <w:rPr>
          <w:rFonts w:ascii="gobCL" w:eastAsia="gobCL" w:hAnsi="gobCL" w:cs="gobCL"/>
        </w:rPr>
        <w:t xml:space="preserve"> un A</w:t>
      </w:r>
      <w:r w:rsidR="005E0599">
        <w:rPr>
          <w:rFonts w:ascii="gobCL" w:eastAsia="gobCL" w:hAnsi="gobCL" w:cs="gobCL"/>
        </w:rPr>
        <w:t>gente Operador</w:t>
      </w:r>
      <w:r w:rsidRPr="00303C5A">
        <w:rPr>
          <w:rFonts w:ascii="gobCL" w:eastAsia="gobCL" w:hAnsi="gobCL" w:cs="gobCL"/>
        </w:rPr>
        <w:t xml:space="preserve">. Para esta convocatoria, el Agente asignado es: Cámara Nacional de Comercio - CNC., teléfono 2 -23654034, correo electrónico </w:t>
      </w:r>
      <w:hyperlink r:id="rId13" w:history="1">
        <w:r w:rsidR="005E0599" w:rsidRPr="00A7773A">
          <w:rPr>
            <w:rStyle w:val="Hipervnculo"/>
            <w:rFonts w:ascii="gobCL" w:eastAsia="gobCL" w:hAnsi="gobCL" w:cs="gobCL"/>
          </w:rPr>
          <w:t>INFO-REACTIVATEPYME@CNC.cl</w:t>
        </w:r>
      </w:hyperlink>
      <w:r w:rsidR="005E0599">
        <w:rPr>
          <w:rFonts w:ascii="gobCL" w:eastAsia="gobCL" w:hAnsi="gobCL" w:cs="gobCL"/>
        </w:rPr>
        <w:t>.</w:t>
      </w:r>
      <w:r w:rsidRPr="00303C5A">
        <w:rPr>
          <w:rFonts w:ascii="gobCL" w:eastAsia="gobCL" w:hAnsi="gobCL" w:cs="gobCL"/>
        </w:rPr>
        <w:t xml:space="preserve"> Además, puede pedir orientación a los Puntos </w:t>
      </w:r>
      <w:proofErr w:type="spellStart"/>
      <w:r w:rsidRPr="00303C5A">
        <w:rPr>
          <w:rFonts w:ascii="gobCL" w:eastAsia="gobCL" w:hAnsi="gobCL" w:cs="gobCL"/>
        </w:rPr>
        <w:t>Mipe</w:t>
      </w:r>
      <w:proofErr w:type="spellEnd"/>
      <w:r w:rsidRPr="00303C5A">
        <w:rPr>
          <w:rFonts w:ascii="gobCL" w:eastAsia="gobCL" w:hAnsi="gobCL" w:cs="gobCL"/>
        </w:rPr>
        <w:t xml:space="preserve"> a los teléfonos: 232425410 - 232425420- 232425432 - 23245430 - 232425425 - 232425424, o bien, ingresando a </w:t>
      </w:r>
      <w:hyperlink r:id="rId14" w:history="1">
        <w:r w:rsidR="005E0599" w:rsidRPr="00A7773A">
          <w:rPr>
            <w:rStyle w:val="Hipervnculo"/>
            <w:rFonts w:ascii="gobCL" w:eastAsia="gobCL" w:hAnsi="gobCL" w:cs="gobCL"/>
          </w:rPr>
          <w:t>www.sercotec.cl</w:t>
        </w:r>
      </w:hyperlink>
      <w:r w:rsidR="005E0599">
        <w:rPr>
          <w:rFonts w:ascii="gobCL" w:eastAsia="gobCL" w:hAnsi="gobCL" w:cs="gobCL"/>
        </w:rPr>
        <w:t xml:space="preserve">. </w:t>
      </w:r>
    </w:p>
    <w:p w14:paraId="52BF38DC" w14:textId="798EC9CE" w:rsidR="002862B1" w:rsidRPr="005E0599"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lastRenderedPageBreak/>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2089D219"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En consideración de lo anterior, para el caso de esta convocatoria el número de empresas que podrán ser seleccionadas en primera instancia es de</w:t>
      </w:r>
      <w:r w:rsidR="00CA0174" w:rsidRPr="006230F9">
        <w:rPr>
          <w:rFonts w:ascii="gobCL" w:eastAsia="gobCL" w:hAnsi="gobCL" w:cs="gobCL"/>
        </w:rPr>
        <w:t xml:space="preserve"> </w:t>
      </w:r>
      <w:r w:rsidR="00303C5A">
        <w:rPr>
          <w:rFonts w:ascii="gobCL" w:eastAsia="gobCL" w:hAnsi="gobCL" w:cs="gobCL"/>
        </w:rPr>
        <w:t>512</w:t>
      </w:r>
      <w:r w:rsidR="00613A7E">
        <w:rPr>
          <w:rFonts w:ascii="gobCL" w:eastAsia="gobCL" w:hAnsi="gobCL" w:cs="gobCL"/>
        </w:rPr>
        <w:t xml:space="preserve"> </w:t>
      </w:r>
      <w:r w:rsidR="00CE210F" w:rsidRPr="00FE6E1A">
        <w:rPr>
          <w:rFonts w:ascii="gobCL" w:eastAsia="gobCL" w:hAnsi="gobCL" w:cs="gobCL"/>
        </w:rPr>
        <w:t>(</w:t>
      </w:r>
      <w:r w:rsidR="00303C5A">
        <w:rPr>
          <w:rFonts w:ascii="gobCL" w:eastAsia="gobCL" w:hAnsi="gobCL" w:cs="gobCL"/>
        </w:rPr>
        <w:t>quinientos doce</w:t>
      </w:r>
      <w:r w:rsidR="00613A7E">
        <w:rPr>
          <w:rFonts w:ascii="gobCL" w:eastAsia="gobCL" w:hAnsi="gobCL" w:cs="gobCL"/>
        </w:rPr>
        <w:t>)</w:t>
      </w:r>
      <w:r w:rsidR="00216245" w:rsidRPr="00FE6E1A">
        <w:rPr>
          <w:rFonts w:ascii="gobCL" w:eastAsia="gobCL" w:hAnsi="gobCL" w:cs="gobCL"/>
          <w:b/>
        </w:rPr>
        <w:t>.</w:t>
      </w:r>
      <w:r w:rsidR="00216245" w:rsidRPr="006230F9">
        <w:rPr>
          <w:rFonts w:ascii="gobCL" w:eastAsia="gobCL" w:hAnsi="gobCL" w:cs="gobCL"/>
          <w:b/>
        </w:rPr>
        <w:t xml:space="preserve"> </w:t>
      </w:r>
      <w:r w:rsidR="00216245" w:rsidRPr="006230F9">
        <w:rPr>
          <w:rFonts w:ascii="gobCL" w:eastAsia="gobCL" w:hAnsi="gobCL" w:cs="gobCL"/>
        </w:rPr>
        <w:t xml:space="preserve">No obstante, lo anterior, en caso de existir saldos en el monto total de subsidio 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4E1B8086"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FE6E1A">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w:t>
      </w:r>
      <w:r w:rsidRPr="00CA75E0">
        <w:rPr>
          <w:rFonts w:ascii="gobCL" w:eastAsia="gobCL" w:hAnsi="gobCL" w:cs="gobCL"/>
        </w:rPr>
        <w:lastRenderedPageBreak/>
        <w:t xml:space="preserve">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 xml:space="preserve">acompaña (presencial o virtualmente) al beneficiario/a y, en conjunto, proceden a realizar las compras correspondientes. El beneficiario/a deberá financiar los impuestos asociados a la/s compra/s realizada/s. Para la modalidad de la </w:t>
      </w:r>
      <w:r w:rsidRPr="00CA75E0">
        <w:rPr>
          <w:rFonts w:ascii="gobCL" w:eastAsia="gobCL" w:hAnsi="gobCL" w:cs="gobCL"/>
          <w:color w:val="000000"/>
        </w:rPr>
        <w:lastRenderedPageBreak/>
        <w:t>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lastRenderedPageBreak/>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 xml:space="preserve">o que incumpla los requisitos establecidos en las presentes </w:t>
      </w:r>
      <w:r w:rsidR="003721A4">
        <w:rPr>
          <w:rFonts w:ascii="gobCL" w:eastAsia="gobCL" w:hAnsi="gobCL" w:cs="gobCL"/>
        </w:rPr>
        <w:lastRenderedPageBreak/>
        <w:t>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0C683BA1" w14:textId="449079CA" w:rsidR="002862B1" w:rsidRPr="00CA75E0" w:rsidRDefault="00E32D6A" w:rsidP="009B0AE8">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11F500C4" w:rsidR="00B70DAC" w:rsidRPr="00F11208" w:rsidRDefault="00303C5A" w:rsidP="00B70DAC">
            <w:pPr>
              <w:jc w:val="both"/>
              <w:rPr>
                <w:rFonts w:ascii="gobCL" w:eastAsia="gobCL" w:hAnsi="gobCL" w:cs="gobCL"/>
              </w:rPr>
            </w:pPr>
            <w:r w:rsidRPr="00303C5A">
              <w:rPr>
                <w:rFonts w:ascii="gobCL" w:eastAsia="gobCL" w:hAnsi="gobCL" w:cs="gobCL"/>
              </w:rPr>
              <w:t xml:space="preserve">Tener domicilio en las provincias de Cordillera, Maipo, Chacabuco, Talagante o Melipilla (comunas de: Puente Alto, San José de Maipo, </w:t>
            </w:r>
            <w:proofErr w:type="spellStart"/>
            <w:r w:rsidRPr="00303C5A">
              <w:rPr>
                <w:rFonts w:ascii="gobCL" w:eastAsia="gobCL" w:hAnsi="gobCL" w:cs="gobCL"/>
              </w:rPr>
              <w:t>Pirque</w:t>
            </w:r>
            <w:proofErr w:type="spellEnd"/>
            <w:r w:rsidRPr="00303C5A">
              <w:rPr>
                <w:rFonts w:ascii="gobCL" w:eastAsia="gobCL" w:hAnsi="gobCL" w:cs="gobCL"/>
              </w:rPr>
              <w:t xml:space="preserve">, El Monte, Isla de Maipo, Padre Hurtado, </w:t>
            </w:r>
            <w:proofErr w:type="spellStart"/>
            <w:r w:rsidRPr="00303C5A">
              <w:rPr>
                <w:rFonts w:ascii="gobCL" w:eastAsia="gobCL" w:hAnsi="gobCL" w:cs="gobCL"/>
              </w:rPr>
              <w:t>Peñaflor</w:t>
            </w:r>
            <w:proofErr w:type="spellEnd"/>
            <w:r w:rsidRPr="00303C5A">
              <w:rPr>
                <w:rFonts w:ascii="gobCL" w:eastAsia="gobCL" w:hAnsi="gobCL" w:cs="gobCL"/>
              </w:rPr>
              <w:t xml:space="preserve">, Talagante. San Bernardo, Calera de Tango, Buin, </w:t>
            </w:r>
            <w:proofErr w:type="spellStart"/>
            <w:r w:rsidRPr="00303C5A">
              <w:rPr>
                <w:rFonts w:ascii="gobCL" w:eastAsia="gobCL" w:hAnsi="gobCL" w:cs="gobCL"/>
              </w:rPr>
              <w:t>Paine</w:t>
            </w:r>
            <w:proofErr w:type="spellEnd"/>
            <w:r w:rsidRPr="00303C5A">
              <w:rPr>
                <w:rFonts w:ascii="gobCL" w:eastAsia="gobCL" w:hAnsi="gobCL" w:cs="gobCL"/>
              </w:rPr>
              <w:t xml:space="preserve">, Colina, Lampa, </w:t>
            </w:r>
            <w:proofErr w:type="spellStart"/>
            <w:r w:rsidRPr="00303C5A">
              <w:rPr>
                <w:rFonts w:ascii="gobCL" w:eastAsia="gobCL" w:hAnsi="gobCL" w:cs="gobCL"/>
              </w:rPr>
              <w:t>Til-Til</w:t>
            </w:r>
            <w:proofErr w:type="spellEnd"/>
            <w:r w:rsidRPr="00303C5A">
              <w:rPr>
                <w:rFonts w:ascii="gobCL" w:eastAsia="gobCL" w:hAnsi="gobCL" w:cs="gobCL"/>
              </w:rPr>
              <w:t xml:space="preserve">, </w:t>
            </w:r>
            <w:proofErr w:type="spellStart"/>
            <w:r w:rsidRPr="00303C5A">
              <w:rPr>
                <w:rFonts w:ascii="gobCL" w:eastAsia="gobCL" w:hAnsi="gobCL" w:cs="gobCL"/>
              </w:rPr>
              <w:t>Alhué</w:t>
            </w:r>
            <w:proofErr w:type="spellEnd"/>
            <w:r w:rsidRPr="00303C5A">
              <w:rPr>
                <w:rFonts w:ascii="gobCL" w:eastAsia="gobCL" w:hAnsi="gobCL" w:cs="gobCL"/>
              </w:rPr>
              <w:t xml:space="preserve">, </w:t>
            </w:r>
            <w:proofErr w:type="spellStart"/>
            <w:r w:rsidRPr="00303C5A">
              <w:rPr>
                <w:rFonts w:ascii="gobCL" w:eastAsia="gobCL" w:hAnsi="gobCL" w:cs="gobCL"/>
              </w:rPr>
              <w:t>Curacaví</w:t>
            </w:r>
            <w:proofErr w:type="spellEnd"/>
            <w:r w:rsidRPr="00303C5A">
              <w:rPr>
                <w:rFonts w:ascii="gobCL" w:eastAsia="gobCL" w:hAnsi="gobCL" w:cs="gobCL"/>
              </w:rPr>
              <w:t>, María Pinto, Melipilla y San Pedro).</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4C90E5D8" w:rsidR="00B70DAC" w:rsidRPr="005E2CCA" w:rsidRDefault="005C4F85" w:rsidP="00132D14">
            <w:pPr>
              <w:jc w:val="both"/>
              <w:rPr>
                <w:rFonts w:ascii="gobCL" w:eastAsia="gobCL" w:hAnsi="gobCL" w:cs="gobCL"/>
              </w:rPr>
            </w:pPr>
            <w:r w:rsidRPr="005C4F85">
              <w:rPr>
                <w:rFonts w:ascii="gobCL" w:eastAsia="gobCL" w:hAnsi="gobCL" w:cs="gobCL"/>
                <w:bCs/>
                <w:iCs/>
              </w:rPr>
              <w:t xml:space="preserve">No haber sido beneficiario de las convocatorias Reactívate de </w:t>
            </w:r>
            <w:proofErr w:type="spellStart"/>
            <w:r w:rsidRPr="005C4F85">
              <w:rPr>
                <w:rFonts w:ascii="gobCL" w:eastAsia="gobCL" w:hAnsi="gobCL" w:cs="gobCL"/>
                <w:bCs/>
                <w:iCs/>
              </w:rPr>
              <w:t>Sercotec</w:t>
            </w:r>
            <w:proofErr w:type="spellEnd"/>
            <w:r w:rsidRPr="005C4F85">
              <w:rPr>
                <w:rFonts w:ascii="gobCL" w:eastAsia="gobCL" w:hAnsi="gobCL" w:cs="gobCL"/>
                <w:bCs/>
                <w:iCs/>
              </w:rPr>
              <w:t xml:space="preserve"> (cualquier fuente de financiamiento), de las convocatorias Renace Aysén, Renace Gastronómico Aysén, Programa Especial de apoyo al sector Gastronómico de la Región de </w:t>
            </w:r>
            <w:r w:rsidRPr="005C4F85">
              <w:rPr>
                <w:rFonts w:ascii="gobCL" w:eastAsia="gobCL" w:hAnsi="gobCL" w:cs="gobCL"/>
                <w:bCs/>
                <w:iCs/>
              </w:rPr>
              <w:lastRenderedPageBreak/>
              <w:t>Valparaíso y 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1FB5F14D" w14:textId="77777777" w:rsidR="00474CD6" w:rsidRDefault="00474CD6" w:rsidP="00E77EA9">
      <w:pPr>
        <w:rPr>
          <w:rFonts w:ascii="gobCL" w:eastAsia="gobCL" w:hAnsi="gobCL" w:cs="gobCL"/>
          <w:b/>
          <w:sz w:val="20"/>
          <w:szCs w:val="20"/>
        </w:rPr>
      </w:pPr>
    </w:p>
    <w:p w14:paraId="6918DB94" w14:textId="571D7247"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25501847" w14:textId="77777777" w:rsidR="00474CD6" w:rsidRDefault="00474CD6" w:rsidP="003C5175">
      <w:pPr>
        <w:rPr>
          <w:rFonts w:ascii="gobCL" w:eastAsia="gobCL" w:hAnsi="gobCL" w:cs="gobCL"/>
          <w:b/>
          <w:sz w:val="20"/>
          <w:szCs w:val="20"/>
        </w:rPr>
      </w:pPr>
    </w:p>
    <w:p w14:paraId="6047B273" w14:textId="34C28409"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474CD6">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474CD6">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29D5D30E" w14:textId="44AD5441" w:rsidR="002862B1" w:rsidRPr="00CA75E0" w:rsidRDefault="00BE59C9" w:rsidP="000D4CAF">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 xml:space="preserve">(Escritura pública de constitución o estatutos; y de las últimas modificaciones necesarias para la acertada determinación de la razón social, objeto, administración y representación legal, si las hubiere, y certificado de </w:t>
            </w:r>
            <w:r w:rsidR="00C05B72" w:rsidRPr="005E2CCA">
              <w:rPr>
                <w:rFonts w:ascii="gobCL" w:eastAsia="gobCL" w:hAnsi="gobCL" w:cs="gobCL"/>
              </w:rPr>
              <w:lastRenderedPageBreak/>
              <w:t>vigencia el cual no podrá tener una antigüedad mayor a 90 días contados desde la fecha de inicio de la convocatoria).</w:t>
            </w:r>
          </w:p>
        </w:tc>
      </w:tr>
      <w:tr w:rsidR="002862B1" w:rsidRPr="00CA75E0" w14:paraId="55ABE39B" w14:textId="77777777" w:rsidTr="00474CD6">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474CD6">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474CD6">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474CD6">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474CD6">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474CD6">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474CD6">
        <w:tc>
          <w:tcPr>
            <w:tcW w:w="4531" w:type="dxa"/>
          </w:tcPr>
          <w:p w14:paraId="61A56785" w14:textId="63055CA6" w:rsidR="001515EE" w:rsidRPr="00D0355B" w:rsidRDefault="005C4F85" w:rsidP="00191CD8">
            <w:pPr>
              <w:ind w:left="25"/>
              <w:jc w:val="both"/>
              <w:rPr>
                <w:rFonts w:ascii="gobCL" w:eastAsia="gobCL" w:hAnsi="gobCL" w:cs="gobCL"/>
              </w:rPr>
            </w:pPr>
            <w:r w:rsidRPr="005C4F85">
              <w:rPr>
                <w:rFonts w:ascii="gobCL" w:eastAsia="gobCL" w:hAnsi="gobCL" w:cs="gobCL"/>
                <w:bCs/>
                <w:iCs/>
              </w:rPr>
              <w:t xml:space="preserve">No haber sido beneficiario de las convocatorias Reactívate de </w:t>
            </w:r>
            <w:proofErr w:type="spellStart"/>
            <w:r w:rsidRPr="005C4F85">
              <w:rPr>
                <w:rFonts w:ascii="gobCL" w:eastAsia="gobCL" w:hAnsi="gobCL" w:cs="gobCL"/>
                <w:bCs/>
                <w:iCs/>
              </w:rPr>
              <w:t>Sercotec</w:t>
            </w:r>
            <w:proofErr w:type="spellEnd"/>
            <w:r w:rsidRPr="005C4F85">
              <w:rPr>
                <w:rFonts w:ascii="gobCL" w:eastAsia="gobCL" w:hAnsi="gobCL" w:cs="gobCL"/>
                <w:bCs/>
                <w:iCs/>
              </w:rPr>
              <w:t xml:space="preserve"> (cualquier fuente de financiamiento), de las convocatorias Renace Aysén, Renace Gastronómico Aysén, Programa Especial de apoyo al sector Gastronómico de la Región de Valparaíso y 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46475F" w:rsidRPr="00CA75E0" w14:paraId="52A99776" w14:textId="77777777" w:rsidTr="00474CD6">
        <w:tc>
          <w:tcPr>
            <w:tcW w:w="4531" w:type="dxa"/>
          </w:tcPr>
          <w:p w14:paraId="152FB931" w14:textId="011D19CC" w:rsidR="0046475F" w:rsidRPr="0031401B" w:rsidRDefault="0046475F" w:rsidP="00B026B0">
            <w:pPr>
              <w:ind w:left="25"/>
              <w:jc w:val="both"/>
              <w:rPr>
                <w:rFonts w:ascii="gobCL" w:eastAsia="gobCL" w:hAnsi="gobCL" w:cs="gobCL"/>
              </w:rPr>
            </w:pPr>
            <w:r w:rsidRPr="0046475F">
              <w:rPr>
                <w:rFonts w:ascii="gobCL" w:eastAsia="gobCL" w:hAnsi="gobCL" w:cs="gobCL"/>
              </w:rPr>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 xml:space="preserve">considere financiamiento para habilitación de infraestructura, </w:t>
            </w:r>
            <w:r w:rsidRPr="0046475F">
              <w:rPr>
                <w:rFonts w:ascii="gobCL" w:eastAsia="gobCL" w:hAnsi="gobCL" w:cs="gobCL"/>
              </w:rPr>
              <w:lastRenderedPageBreak/>
              <w:t>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D133DA">
              <w:rPr>
                <w:rFonts w:ascii="gobCL" w:eastAsia="gobCL" w:hAnsi="gobCL" w:cs="gobCL"/>
              </w:rPr>
              <w:t>.</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lastRenderedPageBreak/>
              <w:t xml:space="preserve">En caso de ser propietario/a: Certificado de Dominio Vigente emitido por el Conservador de </w:t>
            </w:r>
            <w:r w:rsidRPr="0046475F">
              <w:rPr>
                <w:rFonts w:ascii="gobCL" w:eastAsia="gobCL" w:hAnsi="gobCL" w:cs="gobCL"/>
              </w:rPr>
              <w:lastRenderedPageBreak/>
              <w:t>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D133DA" w:rsidRPr="00CA75E0" w14:paraId="0716023C" w14:textId="77777777" w:rsidTr="00474CD6">
        <w:tc>
          <w:tcPr>
            <w:tcW w:w="4531" w:type="dxa"/>
          </w:tcPr>
          <w:p w14:paraId="7BCF221E" w14:textId="38D613A9" w:rsidR="00D133DA" w:rsidRPr="00040440" w:rsidRDefault="00303C5A" w:rsidP="00040440">
            <w:pPr>
              <w:ind w:left="25"/>
              <w:jc w:val="both"/>
              <w:rPr>
                <w:rFonts w:ascii="gobCL" w:eastAsia="gobCL" w:hAnsi="gobCL" w:cs="gobCL"/>
                <w:color w:val="000000"/>
              </w:rPr>
            </w:pPr>
            <w:r w:rsidRPr="00303C5A">
              <w:rPr>
                <w:rFonts w:ascii="gobCL" w:eastAsia="gobCL" w:hAnsi="gobCL" w:cs="gobCL"/>
                <w:color w:val="000000"/>
              </w:rPr>
              <w:lastRenderedPageBreak/>
              <w:t xml:space="preserve">Tener domicilio en las provincias de Cordillera, Maipo, Chacabuco, Talagante o Melipilla (comunas de: Puente Alto, San José de Maipo, </w:t>
            </w:r>
            <w:proofErr w:type="spellStart"/>
            <w:r w:rsidRPr="00303C5A">
              <w:rPr>
                <w:rFonts w:ascii="gobCL" w:eastAsia="gobCL" w:hAnsi="gobCL" w:cs="gobCL"/>
                <w:color w:val="000000"/>
              </w:rPr>
              <w:t>Pirque</w:t>
            </w:r>
            <w:proofErr w:type="spellEnd"/>
            <w:r w:rsidRPr="00303C5A">
              <w:rPr>
                <w:rFonts w:ascii="gobCL" w:eastAsia="gobCL" w:hAnsi="gobCL" w:cs="gobCL"/>
                <w:color w:val="000000"/>
              </w:rPr>
              <w:t xml:space="preserve">, El Monte, Isla de Maipo, Padre Hurtado, </w:t>
            </w:r>
            <w:proofErr w:type="spellStart"/>
            <w:r w:rsidRPr="00303C5A">
              <w:rPr>
                <w:rFonts w:ascii="gobCL" w:eastAsia="gobCL" w:hAnsi="gobCL" w:cs="gobCL"/>
                <w:color w:val="000000"/>
              </w:rPr>
              <w:t>Peñaflor</w:t>
            </w:r>
            <w:proofErr w:type="spellEnd"/>
            <w:r w:rsidRPr="00303C5A">
              <w:rPr>
                <w:rFonts w:ascii="gobCL" w:eastAsia="gobCL" w:hAnsi="gobCL" w:cs="gobCL"/>
                <w:color w:val="000000"/>
              </w:rPr>
              <w:t xml:space="preserve">, Talagante. San Bernardo, Calera de Tango, Buin, </w:t>
            </w:r>
            <w:proofErr w:type="spellStart"/>
            <w:r w:rsidRPr="00303C5A">
              <w:rPr>
                <w:rFonts w:ascii="gobCL" w:eastAsia="gobCL" w:hAnsi="gobCL" w:cs="gobCL"/>
                <w:color w:val="000000"/>
              </w:rPr>
              <w:t>Paine</w:t>
            </w:r>
            <w:proofErr w:type="spellEnd"/>
            <w:r w:rsidRPr="00303C5A">
              <w:rPr>
                <w:rFonts w:ascii="gobCL" w:eastAsia="gobCL" w:hAnsi="gobCL" w:cs="gobCL"/>
                <w:color w:val="000000"/>
              </w:rPr>
              <w:t xml:space="preserve">, Colina, Lampa, </w:t>
            </w:r>
            <w:proofErr w:type="spellStart"/>
            <w:r w:rsidRPr="00303C5A">
              <w:rPr>
                <w:rFonts w:ascii="gobCL" w:eastAsia="gobCL" w:hAnsi="gobCL" w:cs="gobCL"/>
                <w:color w:val="000000"/>
              </w:rPr>
              <w:t>Til-Til</w:t>
            </w:r>
            <w:proofErr w:type="spellEnd"/>
            <w:r w:rsidRPr="00303C5A">
              <w:rPr>
                <w:rFonts w:ascii="gobCL" w:eastAsia="gobCL" w:hAnsi="gobCL" w:cs="gobCL"/>
                <w:color w:val="000000"/>
              </w:rPr>
              <w:t xml:space="preserve">, </w:t>
            </w:r>
            <w:proofErr w:type="spellStart"/>
            <w:r w:rsidRPr="00303C5A">
              <w:rPr>
                <w:rFonts w:ascii="gobCL" w:eastAsia="gobCL" w:hAnsi="gobCL" w:cs="gobCL"/>
                <w:color w:val="000000"/>
              </w:rPr>
              <w:t>Alhué</w:t>
            </w:r>
            <w:proofErr w:type="spellEnd"/>
            <w:r w:rsidRPr="00303C5A">
              <w:rPr>
                <w:rFonts w:ascii="gobCL" w:eastAsia="gobCL" w:hAnsi="gobCL" w:cs="gobCL"/>
                <w:color w:val="000000"/>
              </w:rPr>
              <w:t xml:space="preserve">, </w:t>
            </w:r>
            <w:proofErr w:type="spellStart"/>
            <w:r w:rsidRPr="00303C5A">
              <w:rPr>
                <w:rFonts w:ascii="gobCL" w:eastAsia="gobCL" w:hAnsi="gobCL" w:cs="gobCL"/>
                <w:color w:val="000000"/>
              </w:rPr>
              <w:t>Curacaví</w:t>
            </w:r>
            <w:proofErr w:type="spellEnd"/>
            <w:r w:rsidRPr="00303C5A">
              <w:rPr>
                <w:rFonts w:ascii="gobCL" w:eastAsia="gobCL" w:hAnsi="gobCL" w:cs="gobCL"/>
                <w:color w:val="000000"/>
              </w:rPr>
              <w:t>, María Pinto, Melipilla y San Pedro).</w:t>
            </w:r>
          </w:p>
        </w:tc>
        <w:tc>
          <w:tcPr>
            <w:tcW w:w="4297" w:type="dxa"/>
          </w:tcPr>
          <w:p w14:paraId="545CCC49" w14:textId="69263EA6" w:rsidR="00D133DA" w:rsidRPr="0046475F" w:rsidRDefault="00D133DA" w:rsidP="0046475F">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E88DD" w14:textId="77777777" w:rsidR="00A80C35" w:rsidRDefault="00A80C35">
      <w:pPr>
        <w:spacing w:after="0" w:line="240" w:lineRule="auto"/>
      </w:pPr>
      <w:r>
        <w:separator/>
      </w:r>
    </w:p>
  </w:endnote>
  <w:endnote w:type="continuationSeparator" w:id="0">
    <w:p w14:paraId="15536F01" w14:textId="77777777" w:rsidR="00A80C35" w:rsidRDefault="00A80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7180CA45" w:rsidR="00341A2B" w:rsidRDefault="00341A2B">
        <w:pPr>
          <w:pStyle w:val="Piedepgina"/>
          <w:jc w:val="right"/>
        </w:pPr>
        <w:r>
          <w:fldChar w:fldCharType="begin"/>
        </w:r>
        <w:r>
          <w:instrText>PAGE   \* MERGEFORMAT</w:instrText>
        </w:r>
        <w:r>
          <w:fldChar w:fldCharType="separate"/>
        </w:r>
        <w:r w:rsidR="006E6C9D" w:rsidRPr="006E6C9D">
          <w:rPr>
            <w:noProof/>
            <w:lang w:val="es-ES"/>
          </w:rPr>
          <w:t>14</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A8A50" w14:textId="77777777" w:rsidR="00A80C35" w:rsidRDefault="00A80C35">
      <w:pPr>
        <w:spacing w:after="0" w:line="240" w:lineRule="auto"/>
      </w:pPr>
      <w:r>
        <w:separator/>
      </w:r>
    </w:p>
  </w:footnote>
  <w:footnote w:type="continuationSeparator" w:id="0">
    <w:p w14:paraId="4D134D98" w14:textId="77777777" w:rsidR="00A80C35" w:rsidRDefault="00A80C35">
      <w:pPr>
        <w:spacing w:after="0" w:line="240" w:lineRule="auto"/>
      </w:pPr>
      <w:r>
        <w:continuationSeparator/>
      </w:r>
    </w:p>
  </w:footnote>
  <w:footnote w:id="1">
    <w:p w14:paraId="5B4866FD" w14:textId="33D6C90B" w:rsidR="00535D12" w:rsidRPr="00DC49E3" w:rsidRDefault="00535D12" w:rsidP="00535D12">
      <w:pPr>
        <w:pStyle w:val="Textonotapie"/>
        <w:rPr>
          <w:rFonts w:ascii="gobCL" w:hAnsi="gobCL"/>
          <w:sz w:val="18"/>
        </w:rPr>
      </w:pPr>
      <w:r>
        <w:rPr>
          <w:rStyle w:val="Refdenotaalpie"/>
        </w:rPr>
        <w:footnoteRef/>
      </w:r>
      <w:r>
        <w:t xml:space="preserve"> </w:t>
      </w:r>
      <w:r w:rsidRPr="00625E81">
        <w:rPr>
          <w:rFonts w:ascii="gobCL" w:hAnsi="gobCL"/>
          <w:sz w:val="18"/>
          <w:szCs w:val="18"/>
        </w:rPr>
        <w:t>Se excluyen sociedades de hecho y comunidades hereditarias.</w:t>
      </w:r>
    </w:p>
    <w:p w14:paraId="589422A5" w14:textId="547BDE3D" w:rsidR="00535D12" w:rsidRPr="00535D12" w:rsidRDefault="00535D12">
      <w:pPr>
        <w:pStyle w:val="Textonotapie"/>
        <w:rPr>
          <w:lang w:val="es-ES"/>
        </w:rPr>
      </w:pP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3719B"/>
    <w:rsid w:val="00040440"/>
    <w:rsid w:val="00040AED"/>
    <w:rsid w:val="000448C2"/>
    <w:rsid w:val="00046117"/>
    <w:rsid w:val="0004740C"/>
    <w:rsid w:val="00047815"/>
    <w:rsid w:val="00050E62"/>
    <w:rsid w:val="0005311B"/>
    <w:rsid w:val="00056E8E"/>
    <w:rsid w:val="0005712D"/>
    <w:rsid w:val="000620A2"/>
    <w:rsid w:val="0006518A"/>
    <w:rsid w:val="00075CA8"/>
    <w:rsid w:val="000760DC"/>
    <w:rsid w:val="000765A9"/>
    <w:rsid w:val="0007796B"/>
    <w:rsid w:val="00086934"/>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378AD"/>
    <w:rsid w:val="001515EE"/>
    <w:rsid w:val="001632B4"/>
    <w:rsid w:val="00163644"/>
    <w:rsid w:val="0017554E"/>
    <w:rsid w:val="001756AD"/>
    <w:rsid w:val="00180F94"/>
    <w:rsid w:val="0018146E"/>
    <w:rsid w:val="00191BC1"/>
    <w:rsid w:val="00191CD8"/>
    <w:rsid w:val="00192985"/>
    <w:rsid w:val="00192990"/>
    <w:rsid w:val="00196D9E"/>
    <w:rsid w:val="001A00D3"/>
    <w:rsid w:val="001A3C26"/>
    <w:rsid w:val="001B2234"/>
    <w:rsid w:val="001B3630"/>
    <w:rsid w:val="001B6FDD"/>
    <w:rsid w:val="001C0F51"/>
    <w:rsid w:val="001C2B38"/>
    <w:rsid w:val="001C57B5"/>
    <w:rsid w:val="001C78F5"/>
    <w:rsid w:val="001D3992"/>
    <w:rsid w:val="001D3B35"/>
    <w:rsid w:val="001D4163"/>
    <w:rsid w:val="001D4409"/>
    <w:rsid w:val="001D4C81"/>
    <w:rsid w:val="001D568C"/>
    <w:rsid w:val="001D7094"/>
    <w:rsid w:val="001E1B28"/>
    <w:rsid w:val="001E2557"/>
    <w:rsid w:val="001E72DE"/>
    <w:rsid w:val="001F0D8E"/>
    <w:rsid w:val="001F55BD"/>
    <w:rsid w:val="001F785E"/>
    <w:rsid w:val="001F7BC6"/>
    <w:rsid w:val="0020168B"/>
    <w:rsid w:val="002021E7"/>
    <w:rsid w:val="00202496"/>
    <w:rsid w:val="002123C5"/>
    <w:rsid w:val="0021395F"/>
    <w:rsid w:val="00216245"/>
    <w:rsid w:val="00222BBE"/>
    <w:rsid w:val="00222C10"/>
    <w:rsid w:val="00222C71"/>
    <w:rsid w:val="00223A7B"/>
    <w:rsid w:val="00224DF9"/>
    <w:rsid w:val="0023302B"/>
    <w:rsid w:val="0023590C"/>
    <w:rsid w:val="00235A64"/>
    <w:rsid w:val="00235E29"/>
    <w:rsid w:val="00236EEE"/>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E62F2"/>
    <w:rsid w:val="002F131E"/>
    <w:rsid w:val="00303C5A"/>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2847"/>
    <w:rsid w:val="00353A4B"/>
    <w:rsid w:val="00353B87"/>
    <w:rsid w:val="00355380"/>
    <w:rsid w:val="00361D64"/>
    <w:rsid w:val="00362217"/>
    <w:rsid w:val="00363081"/>
    <w:rsid w:val="0036402F"/>
    <w:rsid w:val="003721A4"/>
    <w:rsid w:val="00372716"/>
    <w:rsid w:val="00373108"/>
    <w:rsid w:val="003806EC"/>
    <w:rsid w:val="00382EDB"/>
    <w:rsid w:val="0038350D"/>
    <w:rsid w:val="0038649A"/>
    <w:rsid w:val="003877A5"/>
    <w:rsid w:val="00391743"/>
    <w:rsid w:val="003A1305"/>
    <w:rsid w:val="003A60E0"/>
    <w:rsid w:val="003A757D"/>
    <w:rsid w:val="003B3A81"/>
    <w:rsid w:val="003C1B2F"/>
    <w:rsid w:val="003C5175"/>
    <w:rsid w:val="003D1B89"/>
    <w:rsid w:val="003E068F"/>
    <w:rsid w:val="003E2A1B"/>
    <w:rsid w:val="003F09A2"/>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5409"/>
    <w:rsid w:val="0045696A"/>
    <w:rsid w:val="00464052"/>
    <w:rsid w:val="0046475F"/>
    <w:rsid w:val="00465209"/>
    <w:rsid w:val="00467F1D"/>
    <w:rsid w:val="00471623"/>
    <w:rsid w:val="00471FDE"/>
    <w:rsid w:val="00472B36"/>
    <w:rsid w:val="00473690"/>
    <w:rsid w:val="00474CD6"/>
    <w:rsid w:val="00475B40"/>
    <w:rsid w:val="00475DBC"/>
    <w:rsid w:val="00481082"/>
    <w:rsid w:val="00484EA9"/>
    <w:rsid w:val="00485862"/>
    <w:rsid w:val="00490379"/>
    <w:rsid w:val="00492A34"/>
    <w:rsid w:val="00494694"/>
    <w:rsid w:val="00496703"/>
    <w:rsid w:val="004974FD"/>
    <w:rsid w:val="004A5B63"/>
    <w:rsid w:val="004A7235"/>
    <w:rsid w:val="004B0274"/>
    <w:rsid w:val="004B0C3A"/>
    <w:rsid w:val="004B3A3D"/>
    <w:rsid w:val="004B7CC0"/>
    <w:rsid w:val="004C2130"/>
    <w:rsid w:val="004D3DF8"/>
    <w:rsid w:val="004D63D0"/>
    <w:rsid w:val="004E6822"/>
    <w:rsid w:val="004E7786"/>
    <w:rsid w:val="004F112A"/>
    <w:rsid w:val="004F2434"/>
    <w:rsid w:val="004F25F6"/>
    <w:rsid w:val="004F3EAC"/>
    <w:rsid w:val="00503D80"/>
    <w:rsid w:val="005121F1"/>
    <w:rsid w:val="00516ED5"/>
    <w:rsid w:val="00517682"/>
    <w:rsid w:val="00521D81"/>
    <w:rsid w:val="00523C38"/>
    <w:rsid w:val="005255A7"/>
    <w:rsid w:val="005255F7"/>
    <w:rsid w:val="0053031B"/>
    <w:rsid w:val="00531B20"/>
    <w:rsid w:val="00531F0B"/>
    <w:rsid w:val="00535D12"/>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850CA"/>
    <w:rsid w:val="005A6BC4"/>
    <w:rsid w:val="005A7F48"/>
    <w:rsid w:val="005C07D1"/>
    <w:rsid w:val="005C3F82"/>
    <w:rsid w:val="005C4F85"/>
    <w:rsid w:val="005D07CD"/>
    <w:rsid w:val="005D18DD"/>
    <w:rsid w:val="005D2078"/>
    <w:rsid w:val="005E0599"/>
    <w:rsid w:val="005E29F4"/>
    <w:rsid w:val="005E2CCA"/>
    <w:rsid w:val="005E2E57"/>
    <w:rsid w:val="005E6E23"/>
    <w:rsid w:val="005F4103"/>
    <w:rsid w:val="005F7BCA"/>
    <w:rsid w:val="00607A9C"/>
    <w:rsid w:val="00607D77"/>
    <w:rsid w:val="00607F42"/>
    <w:rsid w:val="006111D1"/>
    <w:rsid w:val="00611ED9"/>
    <w:rsid w:val="00613A7E"/>
    <w:rsid w:val="00615469"/>
    <w:rsid w:val="00616C03"/>
    <w:rsid w:val="00621B6F"/>
    <w:rsid w:val="006230F9"/>
    <w:rsid w:val="00625D4C"/>
    <w:rsid w:val="00626617"/>
    <w:rsid w:val="006355D9"/>
    <w:rsid w:val="0063721B"/>
    <w:rsid w:val="006435A2"/>
    <w:rsid w:val="00643927"/>
    <w:rsid w:val="006519BB"/>
    <w:rsid w:val="006530F5"/>
    <w:rsid w:val="00655760"/>
    <w:rsid w:val="006564C9"/>
    <w:rsid w:val="00656834"/>
    <w:rsid w:val="00656D26"/>
    <w:rsid w:val="006577FE"/>
    <w:rsid w:val="00662C37"/>
    <w:rsid w:val="0066415F"/>
    <w:rsid w:val="00665435"/>
    <w:rsid w:val="00670C52"/>
    <w:rsid w:val="006723CF"/>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E6C9D"/>
    <w:rsid w:val="006F0B63"/>
    <w:rsid w:val="006F1B33"/>
    <w:rsid w:val="006F1ECC"/>
    <w:rsid w:val="006F3D43"/>
    <w:rsid w:val="006F4613"/>
    <w:rsid w:val="006F57EF"/>
    <w:rsid w:val="00700A45"/>
    <w:rsid w:val="007027DC"/>
    <w:rsid w:val="007032B4"/>
    <w:rsid w:val="0071203E"/>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C77"/>
    <w:rsid w:val="00762DDE"/>
    <w:rsid w:val="00764973"/>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603C"/>
    <w:rsid w:val="007B7B0F"/>
    <w:rsid w:val="007C1BB4"/>
    <w:rsid w:val="007C48F8"/>
    <w:rsid w:val="007D046E"/>
    <w:rsid w:val="007D2A1B"/>
    <w:rsid w:val="007D5A3A"/>
    <w:rsid w:val="007D6CAE"/>
    <w:rsid w:val="007D774D"/>
    <w:rsid w:val="007D77A6"/>
    <w:rsid w:val="007D7867"/>
    <w:rsid w:val="007E3CA5"/>
    <w:rsid w:val="007E6790"/>
    <w:rsid w:val="007E74A9"/>
    <w:rsid w:val="007E7A64"/>
    <w:rsid w:val="007F19C7"/>
    <w:rsid w:val="007F2F55"/>
    <w:rsid w:val="007F5B10"/>
    <w:rsid w:val="007F5B56"/>
    <w:rsid w:val="007F6E13"/>
    <w:rsid w:val="007F75A4"/>
    <w:rsid w:val="007F7E54"/>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3075"/>
    <w:rsid w:val="00855E79"/>
    <w:rsid w:val="00857D4E"/>
    <w:rsid w:val="00861EA5"/>
    <w:rsid w:val="008634B9"/>
    <w:rsid w:val="008636DA"/>
    <w:rsid w:val="0086418B"/>
    <w:rsid w:val="00864BBD"/>
    <w:rsid w:val="008659E2"/>
    <w:rsid w:val="008669FB"/>
    <w:rsid w:val="00876E25"/>
    <w:rsid w:val="008775F8"/>
    <w:rsid w:val="00880B27"/>
    <w:rsid w:val="0088151A"/>
    <w:rsid w:val="008826D2"/>
    <w:rsid w:val="008870C0"/>
    <w:rsid w:val="008879E4"/>
    <w:rsid w:val="008912F5"/>
    <w:rsid w:val="00892030"/>
    <w:rsid w:val="00896D24"/>
    <w:rsid w:val="008A116D"/>
    <w:rsid w:val="008A1226"/>
    <w:rsid w:val="008B0459"/>
    <w:rsid w:val="008B3B2B"/>
    <w:rsid w:val="008B416D"/>
    <w:rsid w:val="008B76EC"/>
    <w:rsid w:val="008C0D25"/>
    <w:rsid w:val="008C277A"/>
    <w:rsid w:val="008C4F7E"/>
    <w:rsid w:val="008C5D76"/>
    <w:rsid w:val="008D07F2"/>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60177"/>
    <w:rsid w:val="00960414"/>
    <w:rsid w:val="00967747"/>
    <w:rsid w:val="00972EE1"/>
    <w:rsid w:val="00974270"/>
    <w:rsid w:val="00974436"/>
    <w:rsid w:val="0097618F"/>
    <w:rsid w:val="00981699"/>
    <w:rsid w:val="00981F4C"/>
    <w:rsid w:val="00982486"/>
    <w:rsid w:val="009825BA"/>
    <w:rsid w:val="009834CA"/>
    <w:rsid w:val="00983757"/>
    <w:rsid w:val="009845FD"/>
    <w:rsid w:val="00986C06"/>
    <w:rsid w:val="00991A12"/>
    <w:rsid w:val="00992362"/>
    <w:rsid w:val="00994325"/>
    <w:rsid w:val="00996195"/>
    <w:rsid w:val="009A2A11"/>
    <w:rsid w:val="009A4031"/>
    <w:rsid w:val="009A50FC"/>
    <w:rsid w:val="009A5CDD"/>
    <w:rsid w:val="009B0AE8"/>
    <w:rsid w:val="009B3664"/>
    <w:rsid w:val="009B5304"/>
    <w:rsid w:val="009D163B"/>
    <w:rsid w:val="009D731A"/>
    <w:rsid w:val="009D784D"/>
    <w:rsid w:val="009E0FB2"/>
    <w:rsid w:val="009E23D6"/>
    <w:rsid w:val="009E425F"/>
    <w:rsid w:val="009E582F"/>
    <w:rsid w:val="009E654F"/>
    <w:rsid w:val="009F4DD6"/>
    <w:rsid w:val="009F513B"/>
    <w:rsid w:val="00A03B17"/>
    <w:rsid w:val="00A050C1"/>
    <w:rsid w:val="00A07E28"/>
    <w:rsid w:val="00A11054"/>
    <w:rsid w:val="00A16FCE"/>
    <w:rsid w:val="00A21BF8"/>
    <w:rsid w:val="00A21EF0"/>
    <w:rsid w:val="00A375DC"/>
    <w:rsid w:val="00A4075F"/>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80C35"/>
    <w:rsid w:val="00A835E2"/>
    <w:rsid w:val="00A92F88"/>
    <w:rsid w:val="00A94C89"/>
    <w:rsid w:val="00AA1EF7"/>
    <w:rsid w:val="00AA68E9"/>
    <w:rsid w:val="00AB4999"/>
    <w:rsid w:val="00AC7E40"/>
    <w:rsid w:val="00AD2550"/>
    <w:rsid w:val="00AD2C3D"/>
    <w:rsid w:val="00AD65BD"/>
    <w:rsid w:val="00AD693D"/>
    <w:rsid w:val="00AE3AB5"/>
    <w:rsid w:val="00AF1636"/>
    <w:rsid w:val="00AF2E4A"/>
    <w:rsid w:val="00AF4E7C"/>
    <w:rsid w:val="00B00228"/>
    <w:rsid w:val="00B026B0"/>
    <w:rsid w:val="00B11097"/>
    <w:rsid w:val="00B2039C"/>
    <w:rsid w:val="00B3661E"/>
    <w:rsid w:val="00B36B6A"/>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5242"/>
    <w:rsid w:val="00B80341"/>
    <w:rsid w:val="00B834A4"/>
    <w:rsid w:val="00B83A87"/>
    <w:rsid w:val="00B86761"/>
    <w:rsid w:val="00B868D2"/>
    <w:rsid w:val="00B90750"/>
    <w:rsid w:val="00B91497"/>
    <w:rsid w:val="00BA156A"/>
    <w:rsid w:val="00BA5FA4"/>
    <w:rsid w:val="00BA75E8"/>
    <w:rsid w:val="00BA7898"/>
    <w:rsid w:val="00BB65E6"/>
    <w:rsid w:val="00BC40AA"/>
    <w:rsid w:val="00BD6730"/>
    <w:rsid w:val="00BE48B2"/>
    <w:rsid w:val="00BE59C9"/>
    <w:rsid w:val="00BF0614"/>
    <w:rsid w:val="00BF10DA"/>
    <w:rsid w:val="00BF1201"/>
    <w:rsid w:val="00BF123D"/>
    <w:rsid w:val="00BF3995"/>
    <w:rsid w:val="00BF5724"/>
    <w:rsid w:val="00BF6A15"/>
    <w:rsid w:val="00C02CFF"/>
    <w:rsid w:val="00C05028"/>
    <w:rsid w:val="00C05B72"/>
    <w:rsid w:val="00C05F47"/>
    <w:rsid w:val="00C07285"/>
    <w:rsid w:val="00C0732C"/>
    <w:rsid w:val="00C108D7"/>
    <w:rsid w:val="00C26010"/>
    <w:rsid w:val="00C27C8D"/>
    <w:rsid w:val="00C300D5"/>
    <w:rsid w:val="00C302BA"/>
    <w:rsid w:val="00C30ED7"/>
    <w:rsid w:val="00C33797"/>
    <w:rsid w:val="00C34FBC"/>
    <w:rsid w:val="00C36524"/>
    <w:rsid w:val="00C37165"/>
    <w:rsid w:val="00C37E77"/>
    <w:rsid w:val="00C43F61"/>
    <w:rsid w:val="00C47512"/>
    <w:rsid w:val="00C50572"/>
    <w:rsid w:val="00C526C5"/>
    <w:rsid w:val="00C52DFB"/>
    <w:rsid w:val="00C60B9B"/>
    <w:rsid w:val="00C63348"/>
    <w:rsid w:val="00C65654"/>
    <w:rsid w:val="00C74650"/>
    <w:rsid w:val="00C75C39"/>
    <w:rsid w:val="00C82BE6"/>
    <w:rsid w:val="00C84066"/>
    <w:rsid w:val="00C86E17"/>
    <w:rsid w:val="00C87DE3"/>
    <w:rsid w:val="00C9111E"/>
    <w:rsid w:val="00C976FC"/>
    <w:rsid w:val="00C97E21"/>
    <w:rsid w:val="00CA0174"/>
    <w:rsid w:val="00CA659F"/>
    <w:rsid w:val="00CA743B"/>
    <w:rsid w:val="00CA75E0"/>
    <w:rsid w:val="00CA7E52"/>
    <w:rsid w:val="00CC24E0"/>
    <w:rsid w:val="00CC2D54"/>
    <w:rsid w:val="00CC4622"/>
    <w:rsid w:val="00CD40AB"/>
    <w:rsid w:val="00CD4918"/>
    <w:rsid w:val="00CE210F"/>
    <w:rsid w:val="00CE36CC"/>
    <w:rsid w:val="00CF0B62"/>
    <w:rsid w:val="00CF17EC"/>
    <w:rsid w:val="00CF31EC"/>
    <w:rsid w:val="00CF35CE"/>
    <w:rsid w:val="00D0355B"/>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7A8B"/>
    <w:rsid w:val="00DD4F43"/>
    <w:rsid w:val="00DD6C6E"/>
    <w:rsid w:val="00DD71EB"/>
    <w:rsid w:val="00DE1EAB"/>
    <w:rsid w:val="00E00A58"/>
    <w:rsid w:val="00E00D64"/>
    <w:rsid w:val="00E06CA1"/>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4599"/>
    <w:rsid w:val="00E3628D"/>
    <w:rsid w:val="00E369E6"/>
    <w:rsid w:val="00E44C7A"/>
    <w:rsid w:val="00E5375D"/>
    <w:rsid w:val="00E541CA"/>
    <w:rsid w:val="00E612C3"/>
    <w:rsid w:val="00E62357"/>
    <w:rsid w:val="00E6287B"/>
    <w:rsid w:val="00E6422C"/>
    <w:rsid w:val="00E738D6"/>
    <w:rsid w:val="00E745DA"/>
    <w:rsid w:val="00E77EA9"/>
    <w:rsid w:val="00E81D8A"/>
    <w:rsid w:val="00E826B3"/>
    <w:rsid w:val="00E83034"/>
    <w:rsid w:val="00E91E1D"/>
    <w:rsid w:val="00E92724"/>
    <w:rsid w:val="00E97933"/>
    <w:rsid w:val="00EA1445"/>
    <w:rsid w:val="00EA3FF4"/>
    <w:rsid w:val="00EA4113"/>
    <w:rsid w:val="00EB45C1"/>
    <w:rsid w:val="00EB71C4"/>
    <w:rsid w:val="00EC12B1"/>
    <w:rsid w:val="00EC1D14"/>
    <w:rsid w:val="00EC574A"/>
    <w:rsid w:val="00EC7674"/>
    <w:rsid w:val="00ED058C"/>
    <w:rsid w:val="00ED3073"/>
    <w:rsid w:val="00ED7004"/>
    <w:rsid w:val="00EE18CD"/>
    <w:rsid w:val="00EE2260"/>
    <w:rsid w:val="00EF2EF7"/>
    <w:rsid w:val="00EF322F"/>
    <w:rsid w:val="00EF3673"/>
    <w:rsid w:val="00EF402A"/>
    <w:rsid w:val="00EF4FE2"/>
    <w:rsid w:val="00EF5608"/>
    <w:rsid w:val="00F00A18"/>
    <w:rsid w:val="00F0369A"/>
    <w:rsid w:val="00F07374"/>
    <w:rsid w:val="00F11208"/>
    <w:rsid w:val="00F11397"/>
    <w:rsid w:val="00F127C9"/>
    <w:rsid w:val="00F143A0"/>
    <w:rsid w:val="00F237F3"/>
    <w:rsid w:val="00F237F9"/>
    <w:rsid w:val="00F239AD"/>
    <w:rsid w:val="00F23BB7"/>
    <w:rsid w:val="00F31FF3"/>
    <w:rsid w:val="00F33AF5"/>
    <w:rsid w:val="00F360C4"/>
    <w:rsid w:val="00F44599"/>
    <w:rsid w:val="00F46AFB"/>
    <w:rsid w:val="00F52B0E"/>
    <w:rsid w:val="00F546FC"/>
    <w:rsid w:val="00F555B2"/>
    <w:rsid w:val="00F615D4"/>
    <w:rsid w:val="00F62408"/>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E6E1A"/>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0440"/>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character" w:styleId="Textoennegrita">
    <w:name w:val="Strong"/>
    <w:basedOn w:val="Fuentedeprrafopredeter"/>
    <w:uiPriority w:val="22"/>
    <w:qFormat/>
    <w:rsid w:val="008912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EACTIVATEPYME@CNC.c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99660E-F24F-4F3C-A02C-ED692179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8683</Words>
  <Characters>47760</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13</cp:revision>
  <cp:lastPrinted>2020-08-28T19:15:00Z</cp:lastPrinted>
  <dcterms:created xsi:type="dcterms:W3CDTF">2020-10-08T19:49:00Z</dcterms:created>
  <dcterms:modified xsi:type="dcterms:W3CDTF">2020-10-09T00:21:00Z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