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DB" w:rsidRPr="008A7592" w:rsidRDefault="001E72DB">
      <w:pPr>
        <w:widowControl w:val="0"/>
        <w:pBdr>
          <w:top w:val="nil"/>
          <w:left w:val="nil"/>
          <w:bottom w:val="nil"/>
          <w:right w:val="nil"/>
          <w:between w:val="nil"/>
        </w:pBdr>
        <w:spacing w:after="0" w:line="276" w:lineRule="auto"/>
        <w:rPr>
          <w:rFonts w:asciiTheme="majorHAnsi" w:hAnsiTheme="majorHAnsi" w:cstheme="majorHAnsi"/>
        </w:rPr>
      </w:pPr>
    </w:p>
    <w:p w:rsidR="001E72DB" w:rsidRPr="008A7592" w:rsidRDefault="006A5E87">
      <w:pPr>
        <w:ind w:left="2880"/>
        <w:rPr>
          <w:rFonts w:asciiTheme="majorHAnsi" w:eastAsia="Garamond" w:hAnsiTheme="majorHAnsi" w:cstheme="majorHAnsi"/>
          <w:b/>
        </w:rPr>
      </w:pPr>
      <w:bookmarkStart w:id="0" w:name="_heading=h.gjdgxs" w:colFirst="0" w:colLast="0"/>
      <w:bookmarkEnd w:id="0"/>
      <w:r w:rsidRPr="008A7592">
        <w:rPr>
          <w:rFonts w:asciiTheme="majorHAnsi" w:hAnsiTheme="majorHAnsi" w:cstheme="majorHAnsi"/>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1E72DB" w:rsidRPr="008A7592" w:rsidRDefault="001E72DB">
      <w:pPr>
        <w:ind w:left="426"/>
        <w:rPr>
          <w:rFonts w:asciiTheme="majorHAnsi" w:eastAsia="Garamond" w:hAnsiTheme="majorHAnsi" w:cstheme="majorHAnsi"/>
          <w:b/>
        </w:rPr>
      </w:pPr>
    </w:p>
    <w:p w:rsidR="001E72DB" w:rsidRPr="008A7592" w:rsidRDefault="001E72DB">
      <w:pPr>
        <w:ind w:left="2880"/>
        <w:rPr>
          <w:rFonts w:asciiTheme="majorHAnsi" w:eastAsia="Garamond" w:hAnsiTheme="majorHAnsi" w:cstheme="majorHAnsi"/>
          <w:b/>
        </w:rPr>
      </w:pPr>
    </w:p>
    <w:p w:rsidR="001E72DB" w:rsidRPr="008A7592" w:rsidRDefault="001E72DB">
      <w:pPr>
        <w:ind w:left="2880"/>
        <w:rPr>
          <w:rFonts w:asciiTheme="majorHAnsi" w:eastAsia="Garamond" w:hAnsiTheme="majorHAnsi" w:cstheme="majorHAnsi"/>
          <w:b/>
        </w:rPr>
      </w:pPr>
    </w:p>
    <w:p w:rsidR="001E72DB" w:rsidRPr="008A7592" w:rsidRDefault="001E72DB">
      <w:pPr>
        <w:spacing w:before="240" w:after="240"/>
        <w:jc w:val="center"/>
        <w:rPr>
          <w:rFonts w:asciiTheme="majorHAnsi" w:eastAsia="Garamond" w:hAnsiTheme="majorHAnsi" w:cstheme="majorHAnsi"/>
          <w:b/>
          <w:u w:val="single"/>
        </w:rPr>
      </w:pPr>
    </w:p>
    <w:p w:rsidR="001E72DB" w:rsidRPr="008A7592" w:rsidRDefault="001E72DB">
      <w:pPr>
        <w:spacing w:before="240" w:after="240"/>
        <w:jc w:val="center"/>
        <w:rPr>
          <w:rFonts w:asciiTheme="majorHAnsi" w:eastAsia="Garamond" w:hAnsiTheme="majorHAnsi" w:cstheme="majorHAnsi"/>
          <w:b/>
          <w:u w:val="single"/>
        </w:rPr>
      </w:pPr>
    </w:p>
    <w:p w:rsidR="001E72DB" w:rsidRPr="008A7592" w:rsidRDefault="001E72DB">
      <w:pPr>
        <w:spacing w:before="240" w:after="240"/>
        <w:jc w:val="center"/>
        <w:rPr>
          <w:rFonts w:asciiTheme="majorHAnsi" w:eastAsia="Garamond" w:hAnsiTheme="majorHAnsi" w:cstheme="majorHAnsi"/>
          <w:b/>
          <w:sz w:val="32"/>
          <w:szCs w:val="32"/>
          <w:u w:val="single"/>
        </w:rPr>
      </w:pPr>
    </w:p>
    <w:p w:rsidR="001E72DB" w:rsidRPr="008A7592" w:rsidRDefault="006A5E87">
      <w:pPr>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BASES DE CONVOCATORIA</w:t>
      </w:r>
    </w:p>
    <w:p w:rsidR="001E72DB" w:rsidRPr="008A7592" w:rsidRDefault="006A5E87">
      <w:pPr>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PROGRAMA ESPECIAL FNDR CAPACITACION CRECE ELIJOPYME II</w:t>
      </w:r>
    </w:p>
    <w:p w:rsidR="001E72DB" w:rsidRPr="008A7592" w:rsidRDefault="006A5E87">
      <w:pPr>
        <w:tabs>
          <w:tab w:val="left" w:pos="1650"/>
          <w:tab w:val="center" w:pos="4419"/>
        </w:tabs>
        <w:spacing w:before="240" w:after="240"/>
        <w:rPr>
          <w:rFonts w:asciiTheme="majorHAnsi" w:eastAsia="gobCL" w:hAnsiTheme="majorHAnsi" w:cstheme="majorHAnsi"/>
          <w:b/>
          <w:sz w:val="32"/>
          <w:szCs w:val="32"/>
        </w:rPr>
      </w:pPr>
      <w:r w:rsidRPr="008A7592">
        <w:rPr>
          <w:rFonts w:asciiTheme="majorHAnsi" w:eastAsia="gobCL" w:hAnsiTheme="majorHAnsi" w:cstheme="majorHAnsi"/>
          <w:b/>
          <w:sz w:val="32"/>
          <w:szCs w:val="32"/>
        </w:rPr>
        <w:tab/>
      </w:r>
      <w:r w:rsidRPr="008A7592">
        <w:rPr>
          <w:rFonts w:asciiTheme="majorHAnsi" w:eastAsia="gobCL" w:hAnsiTheme="majorHAnsi" w:cstheme="majorHAnsi"/>
          <w:b/>
          <w:sz w:val="32"/>
          <w:szCs w:val="32"/>
        </w:rPr>
        <w:tab/>
      </w:r>
    </w:p>
    <w:p w:rsidR="001E72DB" w:rsidRPr="008A7592" w:rsidRDefault="001E72DB">
      <w:pPr>
        <w:tabs>
          <w:tab w:val="left" w:pos="1650"/>
          <w:tab w:val="center" w:pos="4419"/>
        </w:tabs>
        <w:spacing w:before="240" w:after="240"/>
        <w:jc w:val="center"/>
        <w:rPr>
          <w:rFonts w:asciiTheme="majorHAnsi" w:eastAsia="gobCL" w:hAnsiTheme="majorHAnsi" w:cstheme="majorHAnsi"/>
          <w:b/>
          <w:sz w:val="32"/>
          <w:szCs w:val="32"/>
        </w:rPr>
      </w:pPr>
    </w:p>
    <w:p w:rsidR="001E72DB" w:rsidRPr="008A7592" w:rsidRDefault="006A5E87">
      <w:pPr>
        <w:tabs>
          <w:tab w:val="left" w:pos="1650"/>
          <w:tab w:val="center" w:pos="4419"/>
        </w:tabs>
        <w:spacing w:before="240" w:after="240"/>
        <w:jc w:val="center"/>
        <w:rPr>
          <w:rFonts w:asciiTheme="majorHAnsi" w:eastAsia="gobCL" w:hAnsiTheme="majorHAnsi" w:cstheme="majorHAnsi"/>
          <w:b/>
          <w:sz w:val="32"/>
          <w:szCs w:val="32"/>
        </w:rPr>
      </w:pPr>
      <w:r w:rsidRPr="008A7592">
        <w:rPr>
          <w:rFonts w:asciiTheme="majorHAnsi" w:eastAsia="gobCL" w:hAnsiTheme="majorHAnsi" w:cstheme="majorHAnsi"/>
          <w:b/>
          <w:sz w:val="32"/>
          <w:szCs w:val="32"/>
        </w:rPr>
        <w:t>Región de Tarapacá</w:t>
      </w:r>
    </w:p>
    <w:p w:rsidR="001E72DB" w:rsidRPr="008A7592" w:rsidRDefault="006A5E87">
      <w:pPr>
        <w:tabs>
          <w:tab w:val="center" w:pos="4419"/>
        </w:tabs>
        <w:spacing w:before="240" w:after="240"/>
        <w:rPr>
          <w:rFonts w:asciiTheme="majorHAnsi" w:eastAsia="gobCL" w:hAnsiTheme="majorHAnsi" w:cstheme="majorHAnsi"/>
          <w:sz w:val="32"/>
          <w:szCs w:val="32"/>
        </w:rPr>
      </w:pPr>
      <w:r w:rsidRPr="008A7592">
        <w:rPr>
          <w:rFonts w:asciiTheme="majorHAnsi" w:eastAsia="gobCL" w:hAnsiTheme="majorHAnsi" w:cstheme="majorHAnsi"/>
          <w:b/>
          <w:sz w:val="32"/>
          <w:szCs w:val="32"/>
        </w:rPr>
        <w:tab/>
        <w:t>Septiembre de 2020</w:t>
      </w: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1E72DB">
      <w:pPr>
        <w:spacing w:before="240" w:after="240"/>
        <w:jc w:val="both"/>
        <w:rPr>
          <w:rFonts w:asciiTheme="majorHAnsi" w:eastAsia="gobCL" w:hAnsiTheme="majorHAnsi" w:cstheme="majorHAnsi"/>
        </w:rPr>
      </w:pPr>
    </w:p>
    <w:p w:rsidR="001E72DB" w:rsidRPr="008A7592" w:rsidRDefault="006A5E87">
      <w:pPr>
        <w:rPr>
          <w:rFonts w:asciiTheme="majorHAnsi" w:eastAsia="gobCL" w:hAnsiTheme="majorHAnsi" w:cstheme="majorHAnsi"/>
          <w:b/>
        </w:rPr>
      </w:pPr>
      <w:r w:rsidRPr="008A7592">
        <w:rPr>
          <w:rFonts w:asciiTheme="majorHAnsi" w:hAnsiTheme="majorHAnsi" w:cstheme="majorHAnsi"/>
        </w:rPr>
        <w:br w:type="page"/>
      </w:r>
      <w:r w:rsidRPr="008A7592">
        <w:rPr>
          <w:rFonts w:asciiTheme="majorHAnsi" w:eastAsia="gobCL" w:hAnsiTheme="majorHAnsi" w:cstheme="majorHAnsi"/>
          <w:b/>
        </w:rPr>
        <w:lastRenderedPageBreak/>
        <w:t>1. Antecedentes del programa</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8A7592">
        <w:rPr>
          <w:rFonts w:asciiTheme="majorHAnsi" w:hAnsiTheme="majorHAnsi" w:cstheme="majorHAnsi"/>
        </w:rPr>
        <w:t> </w:t>
      </w:r>
      <w:r w:rsidRPr="008A7592">
        <w:rPr>
          <w:rFonts w:asciiTheme="majorHAnsi" w:eastAsia="gobCL" w:hAnsiTheme="majorHAnsi" w:cstheme="majorHAnsi"/>
        </w:rPr>
        <w:t>comercio, manufactura, transporte, turismo y otros rubros, especialmente en el segmento de las micro y pequeñas empresas, se están viendo afectadas, lo que generará un impacto negativo en la economía.</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Hoy, ante la contingencia nacional, el rol de Sercotec se ha vuelto aún más imprescindible, por lo cual dispone el Programa FNDR Especial “</w:t>
      </w:r>
      <w:proofErr w:type="spellStart"/>
      <w:r w:rsidRPr="008A7592">
        <w:rPr>
          <w:rFonts w:asciiTheme="majorHAnsi" w:eastAsia="gobCL" w:hAnsiTheme="majorHAnsi" w:cstheme="majorHAnsi"/>
        </w:rPr>
        <w:t>ElijoPyme</w:t>
      </w:r>
      <w:proofErr w:type="spellEnd"/>
      <w:r w:rsidRPr="008A7592">
        <w:rPr>
          <w:rFonts w:asciiTheme="majorHAnsi" w:eastAsia="gobCL" w:hAnsiTheme="majorHAnsi" w:cstheme="majorHAnsi"/>
        </w:rPr>
        <w:t>”, el cual busca entregar las herramientas necesarias a aquellas micro y pequeñas empresas, con ventas netas iguales o inferiores a 25.000 UF al año, que se han visto afectadas en sus ingresos a causa de la emergencia sanitaria que afecta hoy al mundo, según lo establecido en las presentes Bases.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Con el objetivo de apoyar la reactivación de su actividad económica, Sercotec otorga un subsidio que les permita reactivar su negocio, mejorar su potencial productivo y/o reemprender.</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 ¿Qué es?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Es un programa que busca apoyar a los micro y pequeñas empresas de cualquier sector económico con ventas netas iguales o inferiores a 25.000 UF al año, que hayan visto afectadas sus ventas producto de la emergencia sanitaria y que tengan inicio de actividades hasta el </w:t>
      </w:r>
      <w:r w:rsidRPr="008A7592">
        <w:rPr>
          <w:rFonts w:asciiTheme="majorHAnsi" w:eastAsia="gobCL" w:hAnsiTheme="majorHAnsi" w:cstheme="majorHAnsi"/>
          <w:color w:val="000000"/>
        </w:rPr>
        <w:t>31 de enero 2020</w:t>
      </w:r>
      <w:r w:rsidRPr="008A7592">
        <w:rPr>
          <w:rFonts w:asciiTheme="majorHAnsi" w:eastAsia="gobCL" w:hAnsiTheme="majorHAnsi" w:cstheme="majorHAnsi"/>
        </w:rPr>
        <w:t>. Para apoyar la reactivación de su actividad económica, Sercotec otorga un subsidio que les permite adquirir activos fijos (tangibles e intangibles), capital de trabajo (materias primas y materiales, mercadería, arriendos) y financiar el pago de servicios básicos, sueldos y gastos en promoción y publicidad.</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2.1. Requisitos generales del programa</w:t>
      </w:r>
    </w:p>
    <w:p w:rsidR="001E72DB" w:rsidRPr="008A7592" w:rsidRDefault="006A5E87">
      <w:pPr>
        <w:spacing w:before="240" w:after="240"/>
        <w:jc w:val="both"/>
        <w:rPr>
          <w:rFonts w:asciiTheme="majorHAnsi" w:eastAsia="gobCL" w:hAnsiTheme="majorHAnsi" w:cstheme="majorHAnsi"/>
        </w:rPr>
      </w:pPr>
      <w:bookmarkStart w:id="1" w:name="_heading=h.30j0zll" w:colFirst="0" w:colLast="0"/>
      <w:bookmarkEnd w:id="1"/>
      <w:r w:rsidRPr="008A7592">
        <w:rPr>
          <w:rFonts w:asciiTheme="majorHAnsi" w:eastAsia="gobCL" w:hAnsiTheme="majorHAnsi" w:cstheme="majorHAnsi"/>
        </w:rPr>
        <w:t xml:space="preserve">Este programa está dirigido a las empresas que cumplan con los siguientes </w:t>
      </w:r>
      <w:r w:rsidRPr="008A7592">
        <w:rPr>
          <w:rFonts w:asciiTheme="majorHAnsi" w:eastAsia="gobCL" w:hAnsiTheme="majorHAnsi" w:cstheme="majorHAnsi"/>
          <w:b/>
        </w:rPr>
        <w:t xml:space="preserve">requisitos, </w:t>
      </w:r>
      <w:r w:rsidRPr="008A7592">
        <w:rPr>
          <w:rFonts w:asciiTheme="majorHAnsi" w:eastAsia="gobCL" w:hAnsiTheme="majorHAnsi" w:cstheme="majorHAnsi"/>
        </w:rPr>
        <w:t>cuyos medios de verificación se detallan en el Anexo N°1:</w:t>
      </w:r>
    </w:p>
    <w:p w:rsidR="006A5E87" w:rsidRPr="008A7592" w:rsidRDefault="006A5E87">
      <w:pPr>
        <w:spacing w:before="240" w:after="240" w:line="276" w:lineRule="auto"/>
        <w:jc w:val="both"/>
        <w:rPr>
          <w:rFonts w:asciiTheme="majorHAnsi" w:eastAsia="gobCL" w:hAnsiTheme="majorHAnsi" w:cstheme="majorHAnsi"/>
          <w:b/>
          <w:u w:val="single"/>
        </w:rPr>
      </w:pPr>
    </w:p>
    <w:p w:rsidR="006A5E87" w:rsidRPr="008A7592" w:rsidRDefault="006A5E87">
      <w:pPr>
        <w:spacing w:before="240" w:after="240" w:line="276" w:lineRule="auto"/>
        <w:jc w:val="both"/>
        <w:rPr>
          <w:rFonts w:asciiTheme="majorHAnsi" w:eastAsia="gobCL" w:hAnsiTheme="majorHAnsi" w:cstheme="majorHAnsi"/>
          <w:b/>
          <w:u w:val="single"/>
        </w:rPr>
      </w:pPr>
    </w:p>
    <w:p w:rsidR="006A5E87" w:rsidRPr="008A7592" w:rsidRDefault="006A5E87">
      <w:pPr>
        <w:spacing w:before="240" w:after="240" w:line="276" w:lineRule="auto"/>
        <w:jc w:val="both"/>
        <w:rPr>
          <w:rFonts w:asciiTheme="majorHAnsi" w:eastAsia="gobCL" w:hAnsiTheme="majorHAnsi" w:cstheme="majorHAnsi"/>
          <w:b/>
          <w:u w:val="single"/>
        </w:rPr>
      </w:pPr>
    </w:p>
    <w:p w:rsidR="006A5E87" w:rsidRPr="008A7592" w:rsidRDefault="006A5E87">
      <w:pPr>
        <w:spacing w:before="240" w:after="240" w:line="276" w:lineRule="auto"/>
        <w:jc w:val="both"/>
        <w:rPr>
          <w:rFonts w:asciiTheme="majorHAnsi" w:eastAsia="gobCL" w:hAnsiTheme="majorHAnsi" w:cstheme="majorHAnsi"/>
          <w:b/>
          <w:u w:val="single"/>
        </w:rPr>
      </w:pPr>
    </w:p>
    <w:p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2.1.1 Requisitos de admisibilidad:</w:t>
      </w:r>
    </w:p>
    <w:p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a.- Admisibilidad automática (*):</w:t>
      </w:r>
    </w:p>
    <w:p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rPr>
        <w:t>a.1. Ser persona natural y/o jurídica con iniciación de actividades en primera categoría</w:t>
      </w:r>
      <w:r w:rsidRPr="008A7592">
        <w:rPr>
          <w:rFonts w:asciiTheme="majorHAnsi" w:eastAsia="gobCL" w:hAnsiTheme="majorHAnsi" w:cstheme="majorHAnsi"/>
          <w:vertAlign w:val="superscript"/>
        </w:rPr>
        <w:footnoteReference w:id="1"/>
      </w:r>
      <w:r w:rsidRPr="008A7592">
        <w:rPr>
          <w:rFonts w:asciiTheme="majorHAnsi" w:eastAsia="gobCL" w:hAnsiTheme="majorHAnsi" w:cstheme="majorHAnsi"/>
        </w:rPr>
        <w:t xml:space="preserve"> ante el Servicio de Impuestos Internos (SII) </w:t>
      </w:r>
      <w:r w:rsidRPr="008A7592">
        <w:rPr>
          <w:rFonts w:asciiTheme="majorHAnsi" w:eastAsia="gobCL" w:hAnsiTheme="majorHAnsi" w:cstheme="majorHAnsi"/>
          <w:b/>
        </w:rPr>
        <w:t>hasta el 31 de Enero de 2020 y estar vigente a la fecha de inicio de la convocatoria.</w:t>
      </w:r>
      <w:r w:rsidRPr="008A7592">
        <w:rPr>
          <w:rFonts w:asciiTheme="majorHAnsi" w:eastAsia="gobCL" w:hAnsiTheme="majorHAnsi" w:cstheme="majorHAnsi"/>
        </w:rPr>
        <w:t xml:space="preserve"> </w:t>
      </w:r>
    </w:p>
    <w:p w:rsidR="001E72DB" w:rsidRPr="008A7592" w:rsidRDefault="001E72DB">
      <w:pPr>
        <w:pBdr>
          <w:top w:val="nil"/>
          <w:left w:val="nil"/>
          <w:bottom w:val="nil"/>
          <w:right w:val="nil"/>
          <w:between w:val="nil"/>
        </w:pBdr>
        <w:spacing w:after="0" w:line="276" w:lineRule="auto"/>
        <w:jc w:val="both"/>
        <w:rPr>
          <w:rFonts w:asciiTheme="majorHAnsi" w:eastAsia="gobCL" w:hAnsiTheme="majorHAnsi" w:cstheme="majorHAnsi"/>
        </w:rPr>
      </w:pPr>
    </w:p>
    <w:p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a.2. No haber incumplido las obligaciones contractuales de un proyecto de Sercotec con el AOS (término anticipado de contrato por hecho o acto imputable al beneficiario/a), a la fecha de inicio de la convocatoria.</w:t>
      </w:r>
    </w:p>
    <w:p w:rsidR="001E72DB" w:rsidRPr="008A7592" w:rsidRDefault="001E72DB">
      <w:pPr>
        <w:pBdr>
          <w:top w:val="nil"/>
          <w:left w:val="nil"/>
          <w:bottom w:val="nil"/>
          <w:right w:val="nil"/>
          <w:between w:val="nil"/>
        </w:pBdr>
        <w:spacing w:after="0"/>
        <w:jc w:val="both"/>
        <w:rPr>
          <w:rFonts w:asciiTheme="majorHAnsi" w:eastAsia="gobCL" w:hAnsiTheme="majorHAnsi" w:cstheme="majorHAnsi"/>
        </w:rPr>
      </w:pPr>
    </w:p>
    <w:p w:rsidR="001E72DB" w:rsidRPr="008A7592" w:rsidRDefault="006A5E87">
      <w:pPr>
        <w:pBdr>
          <w:top w:val="nil"/>
          <w:left w:val="nil"/>
          <w:bottom w:val="nil"/>
          <w:right w:val="nil"/>
          <w:between w:val="nil"/>
        </w:pBdr>
        <w:spacing w:after="0"/>
        <w:jc w:val="both"/>
        <w:rPr>
          <w:rFonts w:asciiTheme="majorHAnsi" w:eastAsia="gobCL" w:hAnsiTheme="majorHAnsi" w:cstheme="majorHAnsi"/>
          <w:b/>
        </w:rPr>
      </w:pPr>
      <w:r w:rsidRPr="008A7592">
        <w:rPr>
          <w:rFonts w:asciiTheme="majorHAnsi" w:eastAsia="gobCL" w:hAnsiTheme="majorHAnsi" w:cstheme="majorHAnsi"/>
        </w:rPr>
        <w:t xml:space="preserve">a.3. No tener condenas por prácticas antisindicales y/o infracción a derechos fundamentales del trabajador, dentro de los dos años anteriores a la fecha de inicio de las postulaciones de la presente convocatoria. </w:t>
      </w:r>
      <w:r w:rsidRPr="008A7592">
        <w:rPr>
          <w:rFonts w:asciiTheme="majorHAnsi" w:eastAsia="gobCL" w:hAnsiTheme="majorHAnsi" w:cstheme="majorHAnsi"/>
          <w:b/>
        </w:rPr>
        <w:t>Sercotec validará nuevamente esta condición al momento de formalizar.</w:t>
      </w:r>
    </w:p>
    <w:p w:rsidR="001E72DB" w:rsidRPr="008A7592" w:rsidRDefault="001E72DB">
      <w:pPr>
        <w:pBdr>
          <w:top w:val="nil"/>
          <w:left w:val="nil"/>
          <w:bottom w:val="nil"/>
          <w:right w:val="nil"/>
          <w:between w:val="nil"/>
        </w:pBdr>
        <w:spacing w:after="0"/>
        <w:jc w:val="both"/>
        <w:rPr>
          <w:rFonts w:asciiTheme="majorHAnsi" w:eastAsia="gobCL" w:hAnsiTheme="majorHAnsi" w:cstheme="majorHAnsi"/>
          <w:b/>
        </w:rPr>
      </w:pPr>
    </w:p>
    <w:p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a.4 No tener rendiciones pendientes con Sercotec, a la fecha de inicio de la convocatoria.</w:t>
      </w:r>
    </w:p>
    <w:p w:rsidR="001E72DB" w:rsidRPr="008A7592" w:rsidRDefault="001E72DB">
      <w:pPr>
        <w:pBdr>
          <w:top w:val="nil"/>
          <w:left w:val="nil"/>
          <w:bottom w:val="nil"/>
          <w:right w:val="nil"/>
          <w:between w:val="nil"/>
        </w:pBdr>
        <w:spacing w:after="0"/>
        <w:jc w:val="both"/>
        <w:rPr>
          <w:rFonts w:asciiTheme="majorHAnsi" w:eastAsia="gobCL" w:hAnsiTheme="majorHAnsi" w:cstheme="majorHAnsi"/>
        </w:rPr>
      </w:pPr>
    </w:p>
    <w:p w:rsidR="001E72DB" w:rsidRPr="008A7592" w:rsidRDefault="006A5E87">
      <w:p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a.5 Tener domicilio comercial en la región de la presente convocatoria. </w:t>
      </w:r>
    </w:p>
    <w:p w:rsidR="007250D4" w:rsidRPr="008A7592" w:rsidRDefault="007250D4" w:rsidP="007250D4">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a.6.- No haber sido beneficiario de las convocatorias Reactívate con Sercotec 2020, CRECE 2019 en cualquiera de sus versiones, Digitaliza tu Almacén 2020. Sercotec validará nuevamente esta condición al momento de formalizar.</w:t>
      </w:r>
    </w:p>
    <w:p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b/>
          <w:u w:val="single"/>
        </w:rPr>
        <w:t>b.-  Admisibilidad Manual:</w:t>
      </w:r>
    </w:p>
    <w:p w:rsidR="001E72DB" w:rsidRPr="008A7592" w:rsidRDefault="006A5E87">
      <w:pPr>
        <w:pBdr>
          <w:top w:val="nil"/>
          <w:left w:val="nil"/>
          <w:bottom w:val="nil"/>
          <w:right w:val="nil"/>
          <w:between w:val="nil"/>
        </w:pBdr>
        <w:spacing w:before="240" w:after="0" w:line="276" w:lineRule="auto"/>
        <w:jc w:val="both"/>
        <w:rPr>
          <w:rFonts w:asciiTheme="majorHAnsi" w:eastAsia="gobCL" w:hAnsiTheme="majorHAnsi" w:cstheme="majorHAnsi"/>
          <w:b/>
        </w:rPr>
      </w:pPr>
      <w:r w:rsidRPr="008A7592">
        <w:rPr>
          <w:rFonts w:asciiTheme="majorHAnsi" w:eastAsia="gobCL" w:hAnsiTheme="majorHAnsi" w:cstheme="majorHAnsi"/>
          <w:b/>
        </w:rPr>
        <w:t>b.1.- Ventas mayores a 0 (cero) e inferiores o iguales a 25.000 UF.</w:t>
      </w:r>
    </w:p>
    <w:p w:rsidR="001E72DB" w:rsidRPr="008A7592" w:rsidRDefault="006A5E87">
      <w:p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p>
    <w:p w:rsidR="001E72DB" w:rsidRPr="008A7592" w:rsidRDefault="001E72DB">
      <w:pPr>
        <w:pBdr>
          <w:top w:val="nil"/>
          <w:left w:val="nil"/>
          <w:bottom w:val="nil"/>
          <w:right w:val="nil"/>
          <w:between w:val="nil"/>
        </w:pBdr>
        <w:spacing w:before="240" w:after="0" w:line="120" w:lineRule="auto"/>
        <w:jc w:val="both"/>
        <w:rPr>
          <w:rFonts w:asciiTheme="majorHAnsi" w:eastAsia="gobCL" w:hAnsiTheme="majorHAnsi" w:cstheme="majorHAnsi"/>
        </w:rPr>
      </w:pPr>
    </w:p>
    <w:tbl>
      <w:tblPr>
        <w:tblStyle w:val="afff1"/>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8A7592">
        <w:trPr>
          <w:trHeight w:val="765"/>
          <w:jc w:val="center"/>
        </w:trPr>
        <w:tc>
          <w:tcPr>
            <w:tcW w:w="2547" w:type="dxa"/>
            <w:shd w:val="clear" w:color="auto" w:fill="D9D9D9"/>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Mes de Inicio de Convocatoria</w:t>
            </w:r>
          </w:p>
        </w:tc>
        <w:tc>
          <w:tcPr>
            <w:tcW w:w="6325" w:type="dxa"/>
            <w:shd w:val="clear" w:color="auto" w:fill="D9D9D9"/>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8A7592">
        <w:trPr>
          <w:jc w:val="center"/>
        </w:trPr>
        <w:tc>
          <w:tcPr>
            <w:tcW w:w="2547" w:type="dxa"/>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sz w:val="22"/>
                <w:szCs w:val="22"/>
              </w:rPr>
              <w:t>Septiembre</w:t>
            </w:r>
            <w:r w:rsidRPr="008A7592">
              <w:rPr>
                <w:rFonts w:asciiTheme="majorHAnsi" w:eastAsia="gobCL" w:hAnsiTheme="majorHAnsi" w:cstheme="majorHAnsi"/>
                <w:color w:val="000000"/>
                <w:sz w:val="22"/>
                <w:szCs w:val="22"/>
              </w:rPr>
              <w:t xml:space="preserve"> 2020</w:t>
            </w:r>
          </w:p>
        </w:tc>
        <w:tc>
          <w:tcPr>
            <w:tcW w:w="6325" w:type="dxa"/>
          </w:tcPr>
          <w:p w:rsidR="001E72DB" w:rsidRPr="008A7592" w:rsidRDefault="006A5E87">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Julio 2019 – Junio 2020</w:t>
            </w:r>
          </w:p>
        </w:tc>
      </w:tr>
    </w:tbl>
    <w:p w:rsidR="001E72DB" w:rsidRPr="008A7592" w:rsidRDefault="006A5E87">
      <w:pPr>
        <w:spacing w:before="240" w:after="240" w:line="240" w:lineRule="auto"/>
        <w:jc w:val="both"/>
        <w:rPr>
          <w:rFonts w:asciiTheme="majorHAnsi" w:eastAsia="gobCL" w:hAnsiTheme="majorHAnsi" w:cstheme="majorHAnsi"/>
          <w:color w:val="FF0000"/>
        </w:rPr>
      </w:pPr>
      <w:r w:rsidRPr="008A7592">
        <w:rPr>
          <w:rFonts w:asciiTheme="majorHAnsi" w:eastAsia="gobCL" w:hAnsiTheme="majorHAnsi" w:cstheme="majorHAnsi"/>
          <w:color w:val="000000"/>
        </w:rPr>
        <w:lastRenderedPageBreak/>
        <w:t xml:space="preserve">Para las empresas que tengan iniciación de actividades posterior a junio del 2019, el cálculo de ventas se hará a partir del mes de inicio de actividades hasta el mes de </w:t>
      </w:r>
      <w:r w:rsidR="000A1D39" w:rsidRPr="008A7592">
        <w:rPr>
          <w:rFonts w:asciiTheme="majorHAnsi" w:eastAsia="gobCL" w:hAnsiTheme="majorHAnsi" w:cstheme="majorHAnsi"/>
          <w:color w:val="000000"/>
        </w:rPr>
        <w:t>junio</w:t>
      </w:r>
      <w:r w:rsidRPr="008A7592">
        <w:rPr>
          <w:rFonts w:asciiTheme="majorHAnsi" w:eastAsia="gobCL" w:hAnsiTheme="majorHAnsi" w:cstheme="majorHAnsi"/>
          <w:color w:val="000000"/>
        </w:rPr>
        <w:t xml:space="preserve"> de 2020.</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w:t>
      </w:r>
      <w:r w:rsidRPr="008A7592">
        <w:rPr>
          <w:rFonts w:asciiTheme="majorHAnsi" w:hAnsiTheme="majorHAnsi" w:cstheme="majorHAnsi"/>
        </w:rPr>
        <w:t> </w:t>
      </w:r>
      <w:r w:rsidRPr="008A7592">
        <w:rPr>
          <w:rFonts w:asciiTheme="majorHAnsi" w:eastAsia="gobCL" w:hAnsiTheme="majorHAnsi" w:cstheme="majorHAnsi"/>
        </w:rPr>
        <w:t xml:space="preserve">el caso de ser cooperativas, se les solicitará que las ventas netas promedio por asociado sean iguales o inferiores a 25.000 UF, lo cual se calcula con el monto total de ventas netas durante el período de cálculo de ventas netas de la cooperativa, dividido por el número de asociados. </w:t>
      </w:r>
    </w:p>
    <w:p w:rsidR="001E72DB" w:rsidRPr="008A7592" w:rsidRDefault="006A5E87">
      <w:pPr>
        <w:pBdr>
          <w:top w:val="nil"/>
          <w:left w:val="nil"/>
          <w:bottom w:val="nil"/>
          <w:right w:val="nil"/>
          <w:between w:val="nil"/>
        </w:pBdr>
        <w:spacing w:after="0" w:line="240" w:lineRule="auto"/>
        <w:jc w:val="both"/>
        <w:rPr>
          <w:rFonts w:asciiTheme="majorHAnsi" w:eastAsia="gobCL" w:hAnsiTheme="majorHAnsi" w:cstheme="majorHAnsi"/>
          <w:b/>
        </w:rPr>
      </w:pPr>
      <w:r w:rsidRPr="008A7592">
        <w:rPr>
          <w:rFonts w:asciiTheme="majorHAnsi" w:eastAsia="gobCL" w:hAnsiTheme="majorHAnsi" w:cstheme="majorHAnsi"/>
          <w:b/>
        </w:rPr>
        <w:t xml:space="preserve">b.2.- Disminución de las ventas. </w:t>
      </w:r>
    </w:p>
    <w:p w:rsidR="001E72DB" w:rsidRPr="008A7592" w:rsidRDefault="001E72DB">
      <w:pPr>
        <w:pBdr>
          <w:top w:val="nil"/>
          <w:left w:val="nil"/>
          <w:bottom w:val="nil"/>
          <w:right w:val="nil"/>
          <w:between w:val="nil"/>
        </w:pBdr>
        <w:spacing w:after="0" w:line="276" w:lineRule="auto"/>
        <w:jc w:val="both"/>
        <w:rPr>
          <w:rFonts w:asciiTheme="majorHAnsi" w:eastAsia="gobCL" w:hAnsiTheme="majorHAnsi" w:cstheme="majorHAnsi"/>
        </w:rPr>
      </w:pPr>
    </w:p>
    <w:p w:rsidR="001E72DB" w:rsidRPr="008A7592" w:rsidRDefault="006A5E87">
      <w:pPr>
        <w:pBdr>
          <w:top w:val="nil"/>
          <w:left w:val="nil"/>
          <w:bottom w:val="nil"/>
          <w:right w:val="nil"/>
          <w:between w:val="nil"/>
        </w:pBdr>
        <w:spacing w:after="0" w:line="276" w:lineRule="auto"/>
        <w:jc w:val="both"/>
        <w:rPr>
          <w:rFonts w:asciiTheme="majorHAnsi" w:eastAsia="gobCL" w:hAnsiTheme="majorHAnsi" w:cstheme="majorHAnsi"/>
        </w:rPr>
      </w:pPr>
      <w:r w:rsidRPr="008A7592">
        <w:rPr>
          <w:rFonts w:asciiTheme="majorHAnsi" w:eastAsia="gobCL" w:hAnsiTheme="majorHAnsi" w:cstheme="majorHAnsi"/>
        </w:rPr>
        <w:t>Tener disminución de ventas, determinado de la siguiente manera:</w:t>
      </w:r>
    </w:p>
    <w:p w:rsidR="001E72DB" w:rsidRPr="008A7592" w:rsidRDefault="006A5E87">
      <w:pPr>
        <w:spacing w:before="240" w:after="240" w:line="240" w:lineRule="auto"/>
        <w:jc w:val="both"/>
        <w:rPr>
          <w:rFonts w:asciiTheme="majorHAnsi" w:eastAsia="gobCL" w:hAnsiTheme="majorHAnsi" w:cstheme="majorHAnsi"/>
          <w:color w:val="000000"/>
        </w:rPr>
      </w:pPr>
      <w:r w:rsidRPr="008A7592">
        <w:rPr>
          <w:rFonts w:asciiTheme="majorHAnsi" w:eastAsia="gobCL" w:hAnsiTheme="majorHAnsi" w:cstheme="majorHAnsi"/>
          <w:color w:val="000000"/>
        </w:rPr>
        <w:t xml:space="preserve">Para empresas con inicio de actividades </w:t>
      </w:r>
      <w:r w:rsidRPr="008A7592">
        <w:rPr>
          <w:rFonts w:asciiTheme="majorHAnsi" w:eastAsia="gobCL" w:hAnsiTheme="majorHAnsi" w:cstheme="majorHAnsi"/>
          <w:b/>
          <w:color w:val="000000"/>
        </w:rPr>
        <w:t>anteriores a febrero 2019</w:t>
      </w:r>
      <w:r w:rsidRPr="008A7592">
        <w:rPr>
          <w:rFonts w:asciiTheme="majorHAnsi" w:eastAsia="gobCL" w:hAnsiTheme="majorHAnsi" w:cstheme="majorHAnsi"/>
          <w:color w:val="000000"/>
        </w:rPr>
        <w:t>, el porcentaje de disminución de ventas se calculará comparando las ventas promedio del período 1 (febrero 2019 – julio 2019) con las ventas promedio del período 2 (febrero 2020 – julio 2020).</w:t>
      </w:r>
    </w:p>
    <w:p w:rsidR="001E72DB" w:rsidRPr="008A7592" w:rsidRDefault="006A5E87">
      <w:pPr>
        <w:spacing w:before="240" w:after="240" w:line="240" w:lineRule="auto"/>
        <w:jc w:val="both"/>
        <w:rPr>
          <w:rFonts w:asciiTheme="majorHAnsi" w:eastAsia="gobCL" w:hAnsiTheme="majorHAnsi" w:cstheme="majorHAnsi"/>
          <w:color w:val="FF0000"/>
        </w:rPr>
      </w:pPr>
      <w:r w:rsidRPr="008A7592">
        <w:rPr>
          <w:rFonts w:asciiTheme="majorHAnsi" w:eastAsia="gobCL" w:hAnsiTheme="majorHAnsi" w:cstheme="majorHAnsi"/>
          <w:color w:val="000000"/>
        </w:rPr>
        <w:t xml:space="preserve">Para empresas con inicio de actividades </w:t>
      </w:r>
      <w:r w:rsidRPr="008A7592">
        <w:rPr>
          <w:rFonts w:asciiTheme="majorHAnsi" w:eastAsia="gobCL" w:hAnsiTheme="majorHAnsi" w:cstheme="majorHAnsi"/>
          <w:b/>
          <w:color w:val="000000"/>
        </w:rPr>
        <w:t>a partir de febrero 2019</w:t>
      </w:r>
      <w:r w:rsidRPr="008A7592">
        <w:rPr>
          <w:rFonts w:asciiTheme="majorHAnsi" w:eastAsia="gobCL" w:hAnsiTheme="majorHAnsi" w:cstheme="majorHAnsi"/>
          <w:color w:val="000000"/>
        </w:rPr>
        <w:t>, el porcentaje de disminución de ventas se calculará comparando las ventas promedio del período 1 (febrero 2020– abril 2020), con las ventas promedio del período 2 (mayo 2020 - Julio de 2020).</w:t>
      </w:r>
      <w:r w:rsidRPr="008A7592">
        <w:rPr>
          <w:rFonts w:asciiTheme="majorHAnsi" w:hAnsiTheme="majorHAnsi" w:cstheme="majorHAnsi"/>
          <w:color w:val="000000"/>
        </w:rPr>
        <w:t xml:space="preserve">     </w:t>
      </w:r>
    </w:p>
    <w:tbl>
      <w:tblPr>
        <w:tblStyle w:val="afff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8A7592">
        <w:tc>
          <w:tcPr>
            <w:tcW w:w="8789" w:type="dxa"/>
            <w:shd w:val="clear" w:color="auto" w:fill="D9D9D9"/>
          </w:tcPr>
          <w:p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Cabe mencionar que aquellas empresas que hayan iniciado actividades en primera categoría después del 31 de </w:t>
            </w:r>
            <w:r w:rsidR="000A1D39" w:rsidRPr="008A7592">
              <w:rPr>
                <w:rFonts w:asciiTheme="majorHAnsi" w:eastAsia="gobCL" w:hAnsiTheme="majorHAnsi" w:cstheme="majorHAnsi"/>
                <w:sz w:val="22"/>
                <w:szCs w:val="22"/>
              </w:rPr>
              <w:t>enero</w:t>
            </w:r>
            <w:r w:rsidRPr="008A7592">
              <w:rPr>
                <w:rFonts w:asciiTheme="majorHAnsi" w:eastAsia="gobCL" w:hAnsiTheme="majorHAnsi" w:cstheme="majorHAnsi"/>
                <w:sz w:val="22"/>
                <w:szCs w:val="22"/>
              </w:rPr>
              <w:t xml:space="preserve"> de 2020 o con ventas netas iguales a 0 (cero) o superiores a 25.000 UF o aquellas que no hayan tenido disminución de ventas en el período evaluado, serán declaradas inadmisibles. Asimismo, serán considerados inadmisibles, aquellas empresas postulantes que no tengan declarados tres o más formularios 29, tanto para el cálculo del nivel de ventas, como para el cálculo de la disminución de las mismas. Por otra parte, aquellas empresas que antes de marzo del 2020 tengan más de 3 formularios 29 consecutivos con ventas 0 (cero), quedarán inadmisibles.</w:t>
            </w:r>
          </w:p>
          <w:p w:rsidR="001E72DB" w:rsidRPr="008A7592" w:rsidRDefault="001E72DB">
            <w:pPr>
              <w:jc w:val="both"/>
              <w:rPr>
                <w:rFonts w:asciiTheme="majorHAnsi" w:eastAsia="gobCL" w:hAnsiTheme="majorHAnsi" w:cstheme="majorHAnsi"/>
                <w:sz w:val="22"/>
                <w:szCs w:val="22"/>
                <w:highlight w:val="white"/>
              </w:rPr>
            </w:pPr>
          </w:p>
        </w:tc>
      </w:tr>
      <w:tr w:rsidR="001E72DB" w:rsidRPr="008A7592">
        <w:tc>
          <w:tcPr>
            <w:tcW w:w="8789" w:type="dxa"/>
            <w:shd w:val="clear" w:color="auto" w:fill="D9D9D9"/>
          </w:tcPr>
          <w:p w:rsidR="001E72DB" w:rsidRPr="008A7592" w:rsidRDefault="001E72DB">
            <w:pPr>
              <w:jc w:val="both"/>
              <w:rPr>
                <w:rFonts w:asciiTheme="majorHAnsi" w:eastAsia="gobCL" w:hAnsiTheme="majorHAnsi" w:cstheme="majorHAnsi"/>
                <w:b/>
                <w:sz w:val="22"/>
                <w:szCs w:val="22"/>
                <w:u w:val="single"/>
              </w:rPr>
            </w:pPr>
          </w:p>
        </w:tc>
      </w:tr>
    </w:tbl>
    <w:p w:rsidR="001E72DB" w:rsidRPr="008A7592" w:rsidRDefault="006A5E87">
      <w:pPr>
        <w:spacing w:before="240" w:after="240" w:line="276" w:lineRule="auto"/>
        <w:jc w:val="both"/>
        <w:rPr>
          <w:rFonts w:asciiTheme="majorHAnsi" w:eastAsia="gobCL" w:hAnsiTheme="majorHAnsi" w:cstheme="majorHAnsi"/>
          <w:b/>
          <w:u w:val="single"/>
        </w:rPr>
      </w:pPr>
      <w:bookmarkStart w:id="2" w:name="_heading=h.9fgh2btujkg3" w:colFirst="0" w:colLast="0"/>
      <w:bookmarkEnd w:id="2"/>
      <w:r w:rsidRPr="008A7592">
        <w:rPr>
          <w:rFonts w:asciiTheme="majorHAnsi" w:eastAsia="gobCL" w:hAnsiTheme="majorHAnsi" w:cstheme="majorHAnsi"/>
          <w:b/>
          <w:u w:val="single"/>
        </w:rPr>
        <w:t>2.1.2. Requisitos de formalización:</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Las empresas deben cumplir con los siguientes requisitos:</w:t>
      </w:r>
    </w:p>
    <w:p w:rsidR="001E72DB" w:rsidRPr="008A7592" w:rsidRDefault="006A5E87">
      <w:pPr>
        <w:numPr>
          <w:ilvl w:val="0"/>
          <w:numId w:val="2"/>
        </w:numPr>
        <w:pBdr>
          <w:top w:val="nil"/>
          <w:left w:val="nil"/>
          <w:bottom w:val="nil"/>
          <w:right w:val="nil"/>
          <w:between w:val="nil"/>
        </w:pBdr>
        <w:shd w:val="clear" w:color="auto" w:fill="FFFFFF"/>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caso de ser persona jurídica, ésta deberá estar legalmente constituida.</w:t>
      </w:r>
    </w:p>
    <w:p w:rsidR="001E72DB" w:rsidRPr="008A7592" w:rsidRDefault="006A5E87">
      <w:pPr>
        <w:numPr>
          <w:ilvl w:val="0"/>
          <w:numId w:val="2"/>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r w:rsidRPr="008A7592">
        <w:rPr>
          <w:rFonts w:asciiTheme="majorHAnsi" w:eastAsia="gobCL" w:hAnsiTheme="majorHAnsi" w:cstheme="majorHAnsi"/>
          <w:vertAlign w:val="superscript"/>
        </w:rPr>
        <w:footnoteReference w:id="2"/>
      </w:r>
    </w:p>
    <w:p w:rsidR="001E72DB" w:rsidRPr="008A7592" w:rsidRDefault="006A5E87">
      <w:pPr>
        <w:numPr>
          <w:ilvl w:val="0"/>
          <w:numId w:val="2"/>
        </w:numPr>
        <w:spacing w:before="240" w:after="240" w:line="240" w:lineRule="auto"/>
        <w:jc w:val="both"/>
        <w:rPr>
          <w:rFonts w:asciiTheme="majorHAnsi" w:eastAsia="gobCL" w:hAnsiTheme="majorHAnsi" w:cstheme="majorHAnsi"/>
        </w:rPr>
      </w:pPr>
      <w:bookmarkStart w:id="3" w:name="_heading=h.1fob9te" w:colFirst="0" w:colLast="0"/>
      <w:bookmarkEnd w:id="3"/>
      <w:r w:rsidRPr="008A7592">
        <w:rPr>
          <w:rFonts w:asciiTheme="majorHAnsi" w:eastAsia="gobCL" w:hAnsiTheme="majorHAnsi" w:cstheme="majorHAnsi"/>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1E72DB" w:rsidRPr="008A7592"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Suscripción de Declaración jurada de probidad según el 2.2. de las bases, Anexo N°4 </w:t>
      </w:r>
    </w:p>
    <w:p w:rsidR="001E72DB" w:rsidRPr="008A7592" w:rsidRDefault="001E72DB">
      <w:pPr>
        <w:pBdr>
          <w:top w:val="nil"/>
          <w:left w:val="nil"/>
          <w:bottom w:val="nil"/>
          <w:right w:val="nil"/>
          <w:between w:val="nil"/>
        </w:pBdr>
        <w:spacing w:after="0"/>
        <w:ind w:left="720" w:hanging="720"/>
        <w:jc w:val="both"/>
        <w:rPr>
          <w:rFonts w:asciiTheme="majorHAnsi" w:eastAsia="gobCL" w:hAnsiTheme="majorHAnsi" w:cstheme="majorHAnsi"/>
        </w:rPr>
      </w:pPr>
    </w:p>
    <w:p w:rsidR="001E72DB" w:rsidRPr="008A7592" w:rsidRDefault="006A5E87">
      <w:pPr>
        <w:numPr>
          <w:ilvl w:val="0"/>
          <w:numId w:val="2"/>
        </w:numPr>
        <w:pBdr>
          <w:top w:val="nil"/>
          <w:left w:val="nil"/>
          <w:bottom w:val="nil"/>
          <w:right w:val="nil"/>
          <w:between w:val="nil"/>
        </w:pBdr>
        <w:spacing w:after="0"/>
        <w:jc w:val="both"/>
        <w:rPr>
          <w:rFonts w:asciiTheme="majorHAnsi" w:eastAsia="gobCL" w:hAnsiTheme="majorHAnsi" w:cstheme="majorHAnsi"/>
        </w:rPr>
      </w:pPr>
      <w:r w:rsidRPr="008A7592">
        <w:rPr>
          <w:rFonts w:asciiTheme="majorHAnsi" w:eastAsia="gobCL" w:hAnsiTheme="majorHAnsi" w:cstheme="majorHAnsi"/>
        </w:rPr>
        <w:t xml:space="preserve">Suscripción de Declaración jurada de no consanguinidad en la rendición de gastos, Anexo N°3.  </w:t>
      </w:r>
    </w:p>
    <w:p w:rsidR="001E72DB" w:rsidRPr="008A7592" w:rsidRDefault="006A5E87">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rPr>
        <w:t xml:space="preserve">No tener rendiciones pendientes con Sercotec y/o con el AOS, </w:t>
      </w:r>
      <w:r w:rsidRPr="008A7592">
        <w:rPr>
          <w:rFonts w:asciiTheme="majorHAnsi" w:eastAsia="gobCL" w:hAnsiTheme="majorHAnsi" w:cstheme="majorHAnsi"/>
          <w:b/>
        </w:rPr>
        <w:t>a la fecha la formalización.</w:t>
      </w:r>
    </w:p>
    <w:p w:rsidR="001E72DB" w:rsidRPr="008A7592" w:rsidRDefault="006A5E87">
      <w:pPr>
        <w:numPr>
          <w:ilvl w:val="0"/>
          <w:numId w:val="2"/>
        </w:numPr>
        <w:pBdr>
          <w:top w:val="nil"/>
          <w:left w:val="nil"/>
          <w:bottom w:val="nil"/>
          <w:right w:val="nil"/>
          <w:between w:val="nil"/>
        </w:pBdr>
        <w:spacing w:before="240" w:after="0" w:line="276" w:lineRule="auto"/>
        <w:jc w:val="both"/>
        <w:rPr>
          <w:rFonts w:asciiTheme="majorHAnsi" w:eastAsia="gobCL" w:hAnsiTheme="majorHAnsi" w:cstheme="majorHAnsi"/>
        </w:rPr>
      </w:pPr>
      <w:r w:rsidRPr="008A7592">
        <w:rPr>
          <w:rFonts w:asciiTheme="majorHAnsi" w:eastAsia="gobCL" w:hAnsiTheme="majorHAnsi" w:cstheme="majorHAnsi"/>
        </w:rPr>
        <w:t xml:space="preserve">No haber sido beneficiario de la convocatoria Reactívate con Sercotec 2020, CRECE 2019 en cualquiera de sus versiones, Digitaliza tu </w:t>
      </w:r>
      <w:r w:rsidR="00E57C2A" w:rsidRPr="008A7592">
        <w:rPr>
          <w:rFonts w:asciiTheme="majorHAnsi" w:eastAsia="gobCL" w:hAnsiTheme="majorHAnsi" w:cstheme="majorHAnsi"/>
        </w:rPr>
        <w:t>Almacén 2020</w:t>
      </w:r>
      <w:r w:rsidRPr="008A7592">
        <w:rPr>
          <w:rFonts w:asciiTheme="majorHAnsi" w:eastAsia="gobCL" w:hAnsiTheme="majorHAnsi" w:cstheme="majorHAnsi"/>
        </w:rPr>
        <w:t xml:space="preserve">, ni en programas FNDR 2020. </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2.2. ¿Quiénes NO pueden participar del programa?</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No pueden participar en este Programa</w:t>
      </w:r>
      <w:r w:rsidRPr="008A7592">
        <w:rPr>
          <w:rFonts w:asciiTheme="majorHAnsi" w:eastAsia="gobCL" w:hAnsiTheme="majorHAnsi" w:cstheme="majorHAnsi"/>
          <w:vertAlign w:val="superscript"/>
        </w:rPr>
        <w:footnoteReference w:id="3"/>
      </w:r>
      <w:r w:rsidRPr="008A7592">
        <w:rPr>
          <w:rFonts w:asciiTheme="majorHAnsi" w:eastAsia="gobCL" w:hAnsiTheme="majorHAnsi" w:cstheme="majorHAnsi"/>
        </w:rPr>
        <w:t>:</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personas naturales o jurídicas que tengan vigente o suscriban contratos de prestación de servicios con Sercotec, o el AOS a cargo de la convocatoria, o quienes participen en la asignación de recursos correspondientes a la presente convocatoria.</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1E72DB" w:rsidRPr="008A7592" w:rsidRDefault="006A5E87">
      <w:pPr>
        <w:numPr>
          <w:ilvl w:val="0"/>
          <w:numId w:val="4"/>
        </w:num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1E72DB" w:rsidRPr="008A7592" w:rsidRDefault="006A5E87">
      <w:pPr>
        <w:numPr>
          <w:ilvl w:val="0"/>
          <w:numId w:val="4"/>
        </w:numPr>
        <w:pBdr>
          <w:top w:val="nil"/>
          <w:left w:val="nil"/>
          <w:bottom w:val="nil"/>
          <w:right w:val="nil"/>
          <w:between w:val="nil"/>
        </w:pBdr>
        <w:jc w:val="both"/>
        <w:rPr>
          <w:rFonts w:asciiTheme="majorHAnsi" w:eastAsia="gobCL" w:hAnsiTheme="majorHAnsi" w:cstheme="majorHAnsi"/>
          <w:color w:val="000000"/>
        </w:rPr>
      </w:pPr>
      <w:r w:rsidRPr="008A7592">
        <w:rPr>
          <w:rFonts w:asciiTheme="majorHAnsi" w:eastAsia="gobCL" w:hAnsiTheme="majorHAnsi" w:cstheme="majorHAnsi"/>
          <w:color w:val="000000"/>
        </w:rPr>
        <w:t xml:space="preserve">Beneficiarios/as de las convocatorias Reactívate con Sercotec 2020, </w:t>
      </w:r>
      <w:r w:rsidRPr="008A7592">
        <w:rPr>
          <w:rFonts w:asciiTheme="majorHAnsi" w:eastAsia="gobCL" w:hAnsiTheme="majorHAnsi" w:cstheme="majorHAnsi"/>
        </w:rPr>
        <w:t>CRECE 2019 en cualquiera de sus versiones, Digitaliza tu Almacén 2020, ni en programas FNDR 2020.</w:t>
      </w:r>
    </w:p>
    <w:p w:rsidR="008A7592" w:rsidRPr="008A7592" w:rsidRDefault="008A7592" w:rsidP="008A7592">
      <w:pPr>
        <w:pBdr>
          <w:top w:val="nil"/>
          <w:left w:val="nil"/>
          <w:bottom w:val="nil"/>
          <w:right w:val="nil"/>
          <w:between w:val="nil"/>
        </w:pBdr>
        <w:ind w:left="720"/>
        <w:jc w:val="both"/>
        <w:rPr>
          <w:rFonts w:asciiTheme="majorHAnsi" w:eastAsia="gobCL" w:hAnsiTheme="majorHAnsi" w:cstheme="majorHAnsi"/>
          <w:color w:val="000000"/>
        </w:rPr>
      </w:pP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lastRenderedPageBreak/>
        <w:t>2.3.</w:t>
      </w:r>
      <w:r w:rsidRPr="008A7592">
        <w:rPr>
          <w:rFonts w:asciiTheme="majorHAnsi" w:eastAsia="gobCL" w:hAnsiTheme="majorHAnsi" w:cstheme="majorHAnsi"/>
          <w:b/>
        </w:rPr>
        <w:tab/>
        <w:t>Apoyo en el proceso de postulación</w:t>
      </w:r>
    </w:p>
    <w:p w:rsidR="001E72DB" w:rsidRPr="008A7592" w:rsidRDefault="006A5E87">
      <w:pPr>
        <w:pBdr>
          <w:top w:val="nil"/>
          <w:left w:val="nil"/>
          <w:bottom w:val="nil"/>
          <w:right w:val="nil"/>
          <w:between w:val="nil"/>
        </w:pBdr>
        <w:spacing w:before="240" w:after="240"/>
        <w:jc w:val="both"/>
        <w:rPr>
          <w:rFonts w:asciiTheme="majorHAnsi" w:eastAsia="Times New Roman" w:hAnsiTheme="majorHAnsi" w:cstheme="majorHAnsi"/>
          <w:color w:val="000000"/>
        </w:rPr>
      </w:pPr>
      <w:r w:rsidRPr="008A7592">
        <w:rPr>
          <w:rFonts w:asciiTheme="majorHAnsi" w:eastAsia="gobCL" w:hAnsiTheme="majorHAnsi" w:cstheme="majorHAnsi"/>
          <w:color w:val="000000"/>
        </w:rPr>
        <w:t xml:space="preserve">Para que las personas interesadas realicen consultas, Sercotec dispondrá de Agentes Operadores. Para esta convocatoria, el Agente asignado es: Corporación Regional De Desarrollo Productivo de Tarapacá Dirección: José Miguel Carrera </w:t>
      </w:r>
      <w:proofErr w:type="spellStart"/>
      <w:r w:rsidRPr="008A7592">
        <w:rPr>
          <w:rFonts w:asciiTheme="majorHAnsi" w:eastAsia="gobCL" w:hAnsiTheme="majorHAnsi" w:cstheme="majorHAnsi"/>
          <w:color w:val="000000"/>
        </w:rPr>
        <w:t>Nro</w:t>
      </w:r>
      <w:proofErr w:type="spellEnd"/>
      <w:r w:rsidRPr="008A7592">
        <w:rPr>
          <w:rFonts w:asciiTheme="majorHAnsi" w:eastAsia="gobCL" w:hAnsiTheme="majorHAnsi" w:cstheme="majorHAnsi"/>
          <w:color w:val="000000"/>
        </w:rPr>
        <w:t xml:space="preserve"> 955, Iquique, correo electrónico </w:t>
      </w:r>
      <w:r w:rsidR="00D81A44" w:rsidRPr="00D81A44">
        <w:rPr>
          <w:rFonts w:ascii="Arial" w:hAnsi="Arial" w:cs="Arial"/>
          <w:shd w:val="clear" w:color="auto" w:fill="FFFFFF"/>
        </w:rPr>
        <w:t>crecepyme2@corporaciontarapaca.cl</w:t>
      </w:r>
      <w:r w:rsidRPr="008A7592">
        <w:rPr>
          <w:rFonts w:asciiTheme="majorHAnsi" w:eastAsia="gobCL" w:hAnsiTheme="majorHAnsi" w:cstheme="majorHAnsi"/>
          <w:color w:val="000000"/>
        </w:rPr>
        <w:t xml:space="preserve">, Teléfono: </w:t>
      </w:r>
      <w:r w:rsidR="00D81A44">
        <w:rPr>
          <w:rFonts w:asciiTheme="majorHAnsi" w:eastAsia="gobCL" w:hAnsiTheme="majorHAnsi" w:cstheme="majorHAnsi"/>
          <w:color w:val="000000"/>
        </w:rPr>
        <w:t>(</w:t>
      </w:r>
      <w:r w:rsidR="00D81A44">
        <w:rPr>
          <w:rFonts w:ascii="Arial" w:hAnsi="Arial" w:cs="Arial"/>
          <w:color w:val="222222"/>
          <w:shd w:val="clear" w:color="auto" w:fill="FFFFFF"/>
        </w:rPr>
        <w:t>+56) 939335247 y (+56) 939335248</w:t>
      </w:r>
      <w:r w:rsidRPr="008A7592">
        <w:rPr>
          <w:rFonts w:asciiTheme="majorHAnsi" w:eastAsia="gobCL" w:hAnsiTheme="majorHAnsi" w:cstheme="majorHAnsi"/>
          <w:color w:val="000000"/>
        </w:rPr>
        <w:t>.  Además, pueden recurrir a los Puntos Mipe ubicados en las oficinas regionales de Sercotec, por teléfono, o bien, en forma virtual ingresando a www.sercotec.cl.</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2.4. ¿En qué consiste?</w:t>
      </w:r>
    </w:p>
    <w:p w:rsidR="001E72DB" w:rsidRPr="008A7592" w:rsidRDefault="006A5E87">
      <w:pPr>
        <w:pBdr>
          <w:top w:val="nil"/>
          <w:left w:val="nil"/>
          <w:bottom w:val="nil"/>
          <w:right w:val="nil"/>
          <w:between w:val="nil"/>
        </w:pBdr>
        <w:spacing w:before="240" w:after="0" w:line="240" w:lineRule="auto"/>
        <w:ind w:hanging="720"/>
        <w:jc w:val="both"/>
        <w:rPr>
          <w:rFonts w:asciiTheme="majorHAnsi" w:eastAsia="gobCL" w:hAnsiTheme="majorHAnsi" w:cstheme="majorHAnsi"/>
        </w:rPr>
      </w:pPr>
      <w:r w:rsidRPr="008A7592">
        <w:rPr>
          <w:rFonts w:asciiTheme="majorHAnsi" w:eastAsia="gobCL" w:hAnsiTheme="majorHAnsi" w:cstheme="majorHAnsi"/>
        </w:rPr>
        <w:tab/>
      </w:r>
      <w:sdt>
        <w:sdtPr>
          <w:rPr>
            <w:rFonts w:asciiTheme="majorHAnsi" w:hAnsiTheme="majorHAnsi" w:cstheme="majorHAnsi"/>
          </w:rPr>
          <w:tag w:val="goog_rdk_0"/>
          <w:id w:val="362876404"/>
        </w:sdtPr>
        <w:sdtEndPr/>
        <w:sdtContent/>
      </w:sdt>
      <w:r w:rsidRPr="008A7592">
        <w:rPr>
          <w:rFonts w:asciiTheme="majorHAnsi" w:eastAsia="gobCL" w:hAnsiTheme="majorHAnsi" w:cstheme="majorHAnsi"/>
        </w:rPr>
        <w:t xml:space="preserve">Es un subsidio no reembolsable de hasta </w:t>
      </w:r>
      <w:r w:rsidR="000A1D39" w:rsidRPr="008A7592">
        <w:rPr>
          <w:rFonts w:asciiTheme="majorHAnsi" w:eastAsia="gobCL" w:hAnsiTheme="majorHAnsi" w:cstheme="majorHAnsi"/>
          <w:b/>
        </w:rPr>
        <w:t xml:space="preserve">$ 3.000.000.- </w:t>
      </w:r>
      <w:r w:rsidR="000A1D39" w:rsidRPr="008A7592">
        <w:rPr>
          <w:rFonts w:asciiTheme="majorHAnsi" w:eastAsia="gobCL" w:hAnsiTheme="majorHAnsi" w:cstheme="majorHAnsi"/>
        </w:rPr>
        <w:t>(t</w:t>
      </w:r>
      <w:r w:rsidRPr="008A7592">
        <w:rPr>
          <w:rFonts w:asciiTheme="majorHAnsi" w:eastAsia="gobCL" w:hAnsiTheme="majorHAnsi" w:cstheme="majorHAnsi"/>
        </w:rPr>
        <w:t xml:space="preserve">res millones de pesos), que busca reactivar la actividad económica de los beneficiarios, cuyo monto dependerá del nivel de ventas de la empresa, que se calcula con la información contenida en la carpeta tributaria, tal como se detalla a continuación: </w:t>
      </w:r>
    </w:p>
    <w:p w:rsidR="001E72DB" w:rsidRPr="008A7592" w:rsidRDefault="006A5E87">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r w:rsidRPr="008A7592">
        <w:rPr>
          <w:rFonts w:asciiTheme="majorHAnsi" w:eastAsia="gobCL" w:hAnsiTheme="majorHAnsi" w:cstheme="majorHAnsi"/>
          <w:i/>
        </w:rPr>
        <w:t>Tabla 1: Monto de subsidio según ventas anuales</w:t>
      </w:r>
    </w:p>
    <w:p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i/>
        </w:rPr>
      </w:pPr>
    </w:p>
    <w:tbl>
      <w:tblPr>
        <w:tblStyle w:val="afff3"/>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4"/>
        <w:gridCol w:w="2127"/>
      </w:tblGrid>
      <w:tr w:rsidR="001E72DB" w:rsidRPr="008A7592">
        <w:trPr>
          <w:jc w:val="center"/>
        </w:trPr>
        <w:tc>
          <w:tcPr>
            <w:tcW w:w="1413" w:type="dxa"/>
          </w:tcPr>
          <w:p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SEGMENTO</w:t>
            </w:r>
          </w:p>
        </w:tc>
        <w:tc>
          <w:tcPr>
            <w:tcW w:w="2414" w:type="dxa"/>
          </w:tcPr>
          <w:p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VENTAS ANUALES</w:t>
            </w:r>
          </w:p>
        </w:tc>
        <w:tc>
          <w:tcPr>
            <w:tcW w:w="2127" w:type="dxa"/>
          </w:tcPr>
          <w:p w:rsidR="001E72DB" w:rsidRPr="008A7592" w:rsidRDefault="006A5E87">
            <w:pPr>
              <w:spacing w:before="240"/>
              <w:jc w:val="center"/>
              <w:rPr>
                <w:rFonts w:asciiTheme="majorHAnsi" w:eastAsia="gobCL" w:hAnsiTheme="majorHAnsi" w:cstheme="majorHAnsi"/>
                <w:b/>
                <w:color w:val="000000"/>
                <w:sz w:val="22"/>
                <w:szCs w:val="22"/>
              </w:rPr>
            </w:pPr>
            <w:r w:rsidRPr="008A7592">
              <w:rPr>
                <w:rFonts w:asciiTheme="majorHAnsi" w:eastAsia="gobCL" w:hAnsiTheme="majorHAnsi" w:cstheme="majorHAnsi"/>
                <w:b/>
                <w:color w:val="000000"/>
                <w:sz w:val="22"/>
                <w:szCs w:val="22"/>
              </w:rPr>
              <w:t>MONTO MÁXIMO</w:t>
            </w:r>
          </w:p>
        </w:tc>
      </w:tr>
      <w:tr w:rsidR="001E72DB" w:rsidRPr="008A7592">
        <w:trPr>
          <w:trHeight w:val="338"/>
          <w:jc w:val="center"/>
        </w:trPr>
        <w:tc>
          <w:tcPr>
            <w:tcW w:w="1413"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1</w:t>
            </w:r>
          </w:p>
        </w:tc>
        <w:tc>
          <w:tcPr>
            <w:tcW w:w="2414"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1 Hasta 1.500 UF</w:t>
            </w:r>
          </w:p>
        </w:tc>
        <w:tc>
          <w:tcPr>
            <w:tcW w:w="2127"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 $1.000.000</w:t>
            </w:r>
          </w:p>
        </w:tc>
      </w:tr>
      <w:tr w:rsidR="001E72DB" w:rsidRPr="008A7592">
        <w:trPr>
          <w:jc w:val="center"/>
        </w:trPr>
        <w:tc>
          <w:tcPr>
            <w:tcW w:w="1413"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2</w:t>
            </w:r>
          </w:p>
        </w:tc>
        <w:tc>
          <w:tcPr>
            <w:tcW w:w="2414"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sz w:val="22"/>
                <w:szCs w:val="22"/>
              </w:rPr>
              <w:t>1.501</w:t>
            </w:r>
            <w:r w:rsidRPr="008A7592">
              <w:rPr>
                <w:rFonts w:asciiTheme="majorHAnsi" w:eastAsia="gobCL" w:hAnsiTheme="majorHAnsi" w:cstheme="majorHAnsi"/>
                <w:color w:val="000000"/>
                <w:sz w:val="22"/>
                <w:szCs w:val="22"/>
              </w:rPr>
              <w:t>–3.000 UF</w:t>
            </w:r>
          </w:p>
        </w:tc>
        <w:tc>
          <w:tcPr>
            <w:tcW w:w="2127"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$2.000.000</w:t>
            </w:r>
          </w:p>
        </w:tc>
      </w:tr>
      <w:tr w:rsidR="001E72DB" w:rsidRPr="008A7592">
        <w:trPr>
          <w:jc w:val="center"/>
        </w:trPr>
        <w:tc>
          <w:tcPr>
            <w:tcW w:w="1413" w:type="dxa"/>
          </w:tcPr>
          <w:p w:rsidR="001E72DB" w:rsidRPr="008A7592" w:rsidRDefault="000D437A">
            <w:pPr>
              <w:spacing w:before="240"/>
              <w:jc w:val="center"/>
              <w:rPr>
                <w:rFonts w:asciiTheme="majorHAnsi" w:eastAsia="gobCL" w:hAnsiTheme="majorHAnsi" w:cstheme="majorHAnsi"/>
                <w:color w:val="000000"/>
                <w:sz w:val="22"/>
                <w:szCs w:val="22"/>
              </w:rPr>
            </w:pPr>
            <w:sdt>
              <w:sdtPr>
                <w:rPr>
                  <w:rFonts w:asciiTheme="majorHAnsi" w:hAnsiTheme="majorHAnsi" w:cstheme="majorHAnsi"/>
                </w:rPr>
                <w:tag w:val="goog_rdk_1"/>
                <w:id w:val="-2105492341"/>
              </w:sdtPr>
              <w:sdtEndPr/>
              <w:sdtContent/>
            </w:sdt>
            <w:r w:rsidR="006A5E87" w:rsidRPr="008A7592">
              <w:rPr>
                <w:rFonts w:asciiTheme="majorHAnsi" w:eastAsia="gobCL" w:hAnsiTheme="majorHAnsi" w:cstheme="majorHAnsi"/>
                <w:color w:val="000000"/>
                <w:sz w:val="22"/>
                <w:szCs w:val="22"/>
              </w:rPr>
              <w:t>3</w:t>
            </w:r>
          </w:p>
        </w:tc>
        <w:tc>
          <w:tcPr>
            <w:tcW w:w="2414"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sz w:val="22"/>
                <w:szCs w:val="22"/>
              </w:rPr>
              <w:t>3.001-25.000</w:t>
            </w:r>
            <w:r w:rsidR="00687522" w:rsidRPr="008A7592">
              <w:rPr>
                <w:rFonts w:asciiTheme="majorHAnsi" w:eastAsia="gobCL" w:hAnsiTheme="majorHAnsi" w:cstheme="majorHAnsi"/>
                <w:sz w:val="22"/>
                <w:szCs w:val="22"/>
              </w:rPr>
              <w:t xml:space="preserve"> UF</w:t>
            </w:r>
          </w:p>
        </w:tc>
        <w:tc>
          <w:tcPr>
            <w:tcW w:w="2127" w:type="dxa"/>
          </w:tcPr>
          <w:p w:rsidR="001E72DB" w:rsidRPr="008A7592" w:rsidRDefault="006A5E87">
            <w:pPr>
              <w:spacing w:before="24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$3.000.000</w:t>
            </w:r>
          </w:p>
        </w:tc>
      </w:tr>
    </w:tbl>
    <w:p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p w:rsidR="001E72DB" w:rsidRPr="008A7592" w:rsidRDefault="006A5E87">
      <w:pPr>
        <w:pBdr>
          <w:top w:val="nil"/>
          <w:left w:val="nil"/>
          <w:bottom w:val="nil"/>
          <w:right w:val="nil"/>
          <w:between w:val="nil"/>
        </w:pBdr>
        <w:spacing w:before="240" w:after="0" w:line="240" w:lineRule="auto"/>
        <w:ind w:hanging="720"/>
        <w:jc w:val="both"/>
        <w:rPr>
          <w:rFonts w:asciiTheme="majorHAnsi" w:eastAsia="gobCL" w:hAnsiTheme="majorHAnsi" w:cstheme="majorHAnsi"/>
        </w:rPr>
      </w:pPr>
      <w:r w:rsidRPr="008A7592">
        <w:rPr>
          <w:rFonts w:asciiTheme="majorHAnsi" w:eastAsia="gobCL" w:hAnsiTheme="majorHAnsi" w:cstheme="majorHAnsi"/>
        </w:rPr>
        <w:t>Para el cálculo del nivel de las ventas netas se utilizará el valor UF correspondiente a la fecha de</w:t>
      </w:r>
    </w:p>
    <w:p w:rsidR="001E72DB" w:rsidRPr="008A7592" w:rsidRDefault="006A5E87">
      <w:pPr>
        <w:pBdr>
          <w:top w:val="nil"/>
          <w:left w:val="nil"/>
          <w:bottom w:val="nil"/>
          <w:right w:val="nil"/>
          <w:between w:val="nil"/>
        </w:pBdr>
        <w:spacing w:before="240" w:after="0" w:line="240" w:lineRule="auto"/>
        <w:ind w:hanging="720"/>
        <w:jc w:val="both"/>
        <w:rPr>
          <w:rFonts w:asciiTheme="majorHAnsi" w:eastAsia="gobCL" w:hAnsiTheme="majorHAnsi" w:cstheme="majorHAnsi"/>
        </w:rPr>
      </w:pPr>
      <w:r w:rsidRPr="008A7592">
        <w:rPr>
          <w:rFonts w:asciiTheme="majorHAnsi" w:eastAsia="gobCL" w:hAnsiTheme="majorHAnsi" w:cstheme="majorHAnsi"/>
        </w:rPr>
        <w:t>inicio de la presente convocatoria y se utilizará el siguiente período:</w:t>
      </w:r>
    </w:p>
    <w:p w:rsidR="001E72DB" w:rsidRPr="008A7592" w:rsidRDefault="001E72DB">
      <w:pPr>
        <w:pBdr>
          <w:top w:val="nil"/>
          <w:left w:val="nil"/>
          <w:bottom w:val="nil"/>
          <w:right w:val="nil"/>
          <w:between w:val="nil"/>
        </w:pBdr>
        <w:spacing w:before="240" w:after="0" w:line="240" w:lineRule="auto"/>
        <w:ind w:hanging="720"/>
        <w:jc w:val="center"/>
        <w:rPr>
          <w:rFonts w:asciiTheme="majorHAnsi" w:eastAsia="gobCL" w:hAnsiTheme="majorHAnsi" w:cstheme="majorHAnsi"/>
        </w:rPr>
      </w:pPr>
    </w:p>
    <w:tbl>
      <w:tblPr>
        <w:tblStyle w:val="afff4"/>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1E72DB" w:rsidRPr="008A7592">
        <w:trPr>
          <w:trHeight w:val="765"/>
          <w:jc w:val="center"/>
        </w:trPr>
        <w:tc>
          <w:tcPr>
            <w:tcW w:w="2547" w:type="dxa"/>
            <w:shd w:val="clear" w:color="auto" w:fill="D9D9D9"/>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Mes de Inicio de Convocatoria</w:t>
            </w:r>
          </w:p>
        </w:tc>
        <w:tc>
          <w:tcPr>
            <w:tcW w:w="6325" w:type="dxa"/>
            <w:shd w:val="clear" w:color="auto" w:fill="D9D9D9"/>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Período de cálculo de ventas netas anuales demostrables mayores a 0 e inferiores o iguales a 25.000 UF. </w:t>
            </w:r>
          </w:p>
        </w:tc>
      </w:tr>
      <w:tr w:rsidR="001E72DB" w:rsidRPr="008A7592">
        <w:trPr>
          <w:jc w:val="center"/>
        </w:trPr>
        <w:tc>
          <w:tcPr>
            <w:tcW w:w="2547" w:type="dxa"/>
          </w:tcPr>
          <w:p w:rsidR="001E72DB" w:rsidRPr="008A7592" w:rsidRDefault="006A5E87">
            <w:pPr>
              <w:pBdr>
                <w:top w:val="nil"/>
                <w:left w:val="nil"/>
                <w:bottom w:val="nil"/>
                <w:right w:val="nil"/>
                <w:between w:val="nil"/>
              </w:pBdr>
              <w:tabs>
                <w:tab w:val="left" w:pos="709"/>
              </w:tabs>
              <w:spacing w:after="160" w:line="259" w:lineRule="auto"/>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 </w:t>
            </w:r>
            <w:r w:rsidRPr="008A7592">
              <w:rPr>
                <w:rFonts w:asciiTheme="majorHAnsi" w:eastAsia="gobCL" w:hAnsiTheme="majorHAnsi" w:cstheme="majorHAnsi"/>
                <w:sz w:val="22"/>
                <w:szCs w:val="22"/>
              </w:rPr>
              <w:t>Septiembre</w:t>
            </w:r>
            <w:r w:rsidRPr="008A7592">
              <w:rPr>
                <w:rFonts w:asciiTheme="majorHAnsi" w:eastAsia="gobCL" w:hAnsiTheme="majorHAnsi" w:cstheme="majorHAnsi"/>
                <w:color w:val="000000"/>
                <w:sz w:val="22"/>
                <w:szCs w:val="22"/>
              </w:rPr>
              <w:t xml:space="preserve"> 2020</w:t>
            </w:r>
          </w:p>
        </w:tc>
        <w:tc>
          <w:tcPr>
            <w:tcW w:w="6325" w:type="dxa"/>
          </w:tcPr>
          <w:p w:rsidR="001E72DB" w:rsidRPr="008A7592" w:rsidRDefault="006A5E87">
            <w:pPr>
              <w:pBdr>
                <w:top w:val="nil"/>
                <w:left w:val="nil"/>
                <w:bottom w:val="nil"/>
                <w:right w:val="nil"/>
                <w:between w:val="nil"/>
              </w:pBdr>
              <w:tabs>
                <w:tab w:val="left" w:pos="709"/>
              </w:tabs>
              <w:spacing w:after="160" w:line="259" w:lineRule="auto"/>
              <w:ind w:hanging="720"/>
              <w:jc w:val="center"/>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Julio 2019 – Junio 2020</w:t>
            </w:r>
          </w:p>
        </w:tc>
      </w:tr>
    </w:tbl>
    <w:p w:rsidR="001E72DB" w:rsidRPr="008A7592" w:rsidRDefault="006A5E87">
      <w:p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 xml:space="preserve">Para el caso de las empresas que tengan menos de un año de antigüedad de iniciación de actividades, el cálculo de ventas se hará a partir del mes de inicio de actividades hasta el mes </w:t>
      </w:r>
      <w:r w:rsidRPr="008A7592">
        <w:rPr>
          <w:rFonts w:asciiTheme="majorHAnsi" w:eastAsia="gobCL" w:hAnsiTheme="majorHAnsi" w:cstheme="majorHAnsi"/>
          <w:color w:val="000000"/>
        </w:rPr>
        <w:t xml:space="preserve">de </w:t>
      </w:r>
      <w:r w:rsidR="000A1D39" w:rsidRPr="008A7592">
        <w:rPr>
          <w:rFonts w:asciiTheme="majorHAnsi" w:eastAsia="gobCL" w:hAnsiTheme="majorHAnsi" w:cstheme="majorHAnsi"/>
          <w:color w:val="000000"/>
        </w:rPr>
        <w:t>junio</w:t>
      </w:r>
      <w:r w:rsidRPr="008A7592">
        <w:rPr>
          <w:rFonts w:asciiTheme="majorHAnsi" w:eastAsia="gobCL" w:hAnsiTheme="majorHAnsi" w:cstheme="majorHAnsi"/>
          <w:color w:val="000000"/>
        </w:rPr>
        <w:t xml:space="preserve"> 2020.</w:t>
      </w:r>
    </w:p>
    <w:p w:rsidR="001E72DB" w:rsidRPr="008A7592" w:rsidRDefault="006A5E87">
      <w:p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Los recursos estarán disponibles para los beneficiarios, a través de compra asistida por un AOS o reembolso.</w:t>
      </w:r>
    </w:p>
    <w:p w:rsidR="001E72DB" w:rsidRDefault="001E72DB">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rsidR="008A7592" w:rsidRDefault="008A7592">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rsidR="008A7592" w:rsidRPr="008A7592" w:rsidRDefault="008A7592">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rPr>
      </w:pPr>
    </w:p>
    <w:p w:rsidR="001E72DB" w:rsidRPr="008A7592" w:rsidRDefault="001E72DB">
      <w:pPr>
        <w:pBdr>
          <w:top w:val="nil"/>
          <w:left w:val="nil"/>
          <w:bottom w:val="nil"/>
          <w:right w:val="nil"/>
          <w:between w:val="nil"/>
        </w:pBdr>
        <w:tabs>
          <w:tab w:val="left" w:pos="709"/>
        </w:tabs>
        <w:spacing w:after="0" w:line="240" w:lineRule="auto"/>
        <w:ind w:hanging="720"/>
        <w:jc w:val="both"/>
        <w:rPr>
          <w:rFonts w:asciiTheme="majorHAnsi" w:eastAsia="gobCL" w:hAnsiTheme="majorHAnsi" w:cstheme="majorHAnsi"/>
          <w:b/>
        </w:rPr>
      </w:pPr>
    </w:p>
    <w:p w:rsidR="001E72DB" w:rsidRPr="008A7592" w:rsidRDefault="006A5E87">
      <w:pPr>
        <w:pBdr>
          <w:top w:val="nil"/>
          <w:left w:val="nil"/>
          <w:bottom w:val="nil"/>
          <w:right w:val="nil"/>
          <w:between w:val="nil"/>
        </w:pBdr>
        <w:tabs>
          <w:tab w:val="left" w:pos="709"/>
        </w:tabs>
        <w:spacing w:after="240" w:line="240" w:lineRule="auto"/>
        <w:jc w:val="both"/>
        <w:rPr>
          <w:rFonts w:asciiTheme="majorHAnsi" w:eastAsia="gobCL" w:hAnsiTheme="majorHAnsi" w:cstheme="majorHAnsi"/>
          <w:b/>
        </w:rPr>
      </w:pPr>
      <w:r w:rsidRPr="008A7592">
        <w:rPr>
          <w:rFonts w:asciiTheme="majorHAnsi" w:eastAsia="gobCL" w:hAnsiTheme="majorHAnsi" w:cstheme="majorHAnsi"/>
          <w:b/>
        </w:rPr>
        <w:lastRenderedPageBreak/>
        <w:t>2.5.  ¿Qué es posible financiar con el subsidio que entrega Sercotec?</w:t>
      </w:r>
    </w:p>
    <w:p w:rsidR="001E72DB" w:rsidRPr="008A7592" w:rsidRDefault="006A5E87">
      <w:pPr>
        <w:tabs>
          <w:tab w:val="left" w:pos="709"/>
        </w:tabs>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Con el subsidio entregado por Sercotec es posible financiar los siguientes ítems de gastos (éstos podrán ser financiados a partir del </w:t>
      </w:r>
      <w:r w:rsidRPr="008A7592">
        <w:rPr>
          <w:rFonts w:asciiTheme="majorHAnsi" w:eastAsia="gobCL" w:hAnsiTheme="majorHAnsi" w:cstheme="majorHAnsi"/>
          <w:b/>
        </w:rPr>
        <w:t xml:space="preserve">01 de </w:t>
      </w:r>
      <w:r w:rsidR="000A1D39" w:rsidRPr="008A7592">
        <w:rPr>
          <w:rFonts w:asciiTheme="majorHAnsi" w:eastAsia="gobCL" w:hAnsiTheme="majorHAnsi" w:cstheme="majorHAnsi"/>
          <w:b/>
        </w:rPr>
        <w:t>junio</w:t>
      </w:r>
      <w:r w:rsidRPr="008A7592">
        <w:rPr>
          <w:rFonts w:asciiTheme="majorHAnsi" w:eastAsia="gobCL" w:hAnsiTheme="majorHAnsi" w:cstheme="majorHAnsi"/>
          <w:b/>
        </w:rPr>
        <w:t xml:space="preserve"> del 2020</w:t>
      </w:r>
      <w:r w:rsidRPr="008A7592">
        <w:rPr>
          <w:rFonts w:asciiTheme="majorHAnsi" w:eastAsia="gobCL" w:hAnsiTheme="majorHAnsi" w:cstheme="majorHAnsi"/>
        </w:rPr>
        <w:t xml:space="preserve"> y por el tiempo de vigencia del contrato): </w:t>
      </w:r>
    </w:p>
    <w:p w:rsidR="001E72DB" w:rsidRPr="008A7592" w:rsidRDefault="001E72DB">
      <w:pPr>
        <w:rPr>
          <w:rFonts w:asciiTheme="majorHAnsi" w:hAnsiTheme="majorHAnsi" w:cstheme="majorHAnsi"/>
          <w:b/>
        </w:rPr>
      </w:pPr>
    </w:p>
    <w:tbl>
      <w:tblPr>
        <w:tblStyle w:val="afff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1E72DB" w:rsidRPr="008A7592">
        <w:trPr>
          <w:trHeight w:val="576"/>
          <w:jc w:val="center"/>
        </w:trPr>
        <w:tc>
          <w:tcPr>
            <w:tcW w:w="8789" w:type="dxa"/>
            <w:gridSpan w:val="2"/>
            <w:shd w:val="clear" w:color="auto" w:fill="D9D9D9"/>
            <w:vAlign w:val="center"/>
          </w:tcPr>
          <w:p w:rsidR="001E72DB" w:rsidRPr="008A7592" w:rsidRDefault="006A5E87">
            <w:pPr>
              <w:widowControl w:val="0"/>
              <w:rPr>
                <w:rFonts w:asciiTheme="majorHAnsi" w:eastAsia="gobCL" w:hAnsiTheme="majorHAnsi" w:cstheme="majorHAnsi"/>
                <w:b/>
                <w:sz w:val="22"/>
                <w:szCs w:val="22"/>
              </w:rPr>
            </w:pPr>
            <w:r w:rsidRPr="008A7592">
              <w:rPr>
                <w:rFonts w:asciiTheme="majorHAnsi" w:eastAsia="gobCL" w:hAnsiTheme="majorHAnsi" w:cstheme="majorHAnsi"/>
                <w:b/>
                <w:sz w:val="22"/>
                <w:szCs w:val="22"/>
              </w:rPr>
              <w:t>CATEGORÍA: ACCIONES DE GESTIÓN EMPRESARIAL</w:t>
            </w:r>
          </w:p>
        </w:tc>
      </w:tr>
      <w:tr w:rsidR="001E72DB" w:rsidRPr="008A7592">
        <w:trPr>
          <w:trHeight w:val="332"/>
          <w:jc w:val="center"/>
        </w:trPr>
        <w:tc>
          <w:tcPr>
            <w:tcW w:w="1845" w:type="dxa"/>
            <w:tcBorders>
              <w:bottom w:val="single" w:sz="4" w:space="0" w:color="000000"/>
            </w:tcBorders>
            <w:shd w:val="clear" w:color="auto" w:fill="D9D9D9"/>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ÍTEM</w:t>
            </w:r>
          </w:p>
        </w:tc>
        <w:tc>
          <w:tcPr>
            <w:tcW w:w="6944" w:type="dxa"/>
            <w:shd w:val="clear" w:color="auto" w:fill="D9D9D9"/>
          </w:tcPr>
          <w:p w:rsidR="001E72DB" w:rsidRPr="008A7592" w:rsidRDefault="006A5E87">
            <w:pPr>
              <w:widowControl w:val="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SUBÍTEM / DESCRIPCIÓN</w:t>
            </w:r>
          </w:p>
        </w:tc>
      </w:tr>
      <w:tr w:rsidR="001E72DB" w:rsidRPr="008A7592">
        <w:trPr>
          <w:trHeight w:val="393"/>
          <w:jc w:val="center"/>
        </w:trPr>
        <w:tc>
          <w:tcPr>
            <w:tcW w:w="1845" w:type="dxa"/>
            <w:shd w:val="clear" w:color="auto" w:fill="auto"/>
          </w:tcPr>
          <w:p w:rsidR="001E72DB" w:rsidRPr="008A7592" w:rsidRDefault="006A5E87">
            <w:pPr>
              <w:widowControl w:val="0"/>
              <w:numPr>
                <w:ilvl w:val="0"/>
                <w:numId w:val="8"/>
              </w:numPr>
              <w:ind w:left="356" w:hanging="356"/>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t>Acciones de</w:t>
            </w:r>
          </w:p>
          <w:p w:rsidR="001E72DB" w:rsidRPr="008A7592" w:rsidRDefault="006A5E87">
            <w:pPr>
              <w:widowControl w:val="0"/>
              <w:ind w:left="356"/>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marketing</w:t>
            </w:r>
          </w:p>
        </w:tc>
        <w:tc>
          <w:tcPr>
            <w:tcW w:w="6944" w:type="dxa"/>
            <w:shd w:val="clear" w:color="auto" w:fill="auto"/>
          </w:tcPr>
          <w:p w:rsidR="001E72DB" w:rsidRPr="008A7592" w:rsidRDefault="001E72DB">
            <w:pPr>
              <w:ind w:left="212" w:hanging="201"/>
              <w:jc w:val="both"/>
              <w:rPr>
                <w:rFonts w:asciiTheme="majorHAnsi" w:eastAsia="gobCL" w:hAnsiTheme="majorHAnsi" w:cstheme="majorHAnsi"/>
                <w:sz w:val="22"/>
                <w:szCs w:val="22"/>
              </w:rPr>
            </w:pPr>
          </w:p>
          <w:p w:rsidR="001E72DB" w:rsidRPr="008A7592" w:rsidRDefault="006A5E87">
            <w:pPr>
              <w:numPr>
                <w:ilvl w:val="0"/>
                <w:numId w:val="6"/>
              </w:numPr>
              <w:ind w:left="212" w:hanging="201"/>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Promoción, publicidad y difusión</w:t>
            </w:r>
            <w:r w:rsidRPr="008A7592">
              <w:rPr>
                <w:rFonts w:asciiTheme="majorHAnsi" w:eastAsia="gobCL" w:hAnsiTheme="majorHAnsi" w:cstheme="majorHAnsi"/>
                <w:sz w:val="22"/>
                <w:szCs w:val="22"/>
              </w:rPr>
              <w:t xml:space="preserve">: comprende el gasto en contratación de servicios publicitarios, de promoción y difusión de los proyectos de fomento productivo, incluidos además servicios asociados a Marketing Digital.     </w:t>
            </w:r>
          </w:p>
          <w:p w:rsidR="001E72DB" w:rsidRPr="008A7592" w:rsidRDefault="001E72DB">
            <w:pPr>
              <w:ind w:left="212"/>
              <w:jc w:val="both"/>
              <w:rPr>
                <w:rFonts w:asciiTheme="majorHAnsi" w:eastAsia="gobCL" w:hAnsiTheme="majorHAnsi" w:cstheme="majorHAnsi"/>
                <w:sz w:val="22"/>
                <w:szCs w:val="22"/>
              </w:rPr>
            </w:pPr>
          </w:p>
          <w:p w:rsidR="001E72DB" w:rsidRPr="008A7592" w:rsidRDefault="006A5E87">
            <w:pPr>
              <w:ind w:left="212" w:hanging="201"/>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Se incluye en este ítem la contratación de los servicios de diseño, producción gráfica, audiovisual y publicitaria. Se excluyen los gastos de este </w:t>
            </w:r>
            <w:proofErr w:type="spellStart"/>
            <w:r w:rsidRPr="008A7592">
              <w:rPr>
                <w:rFonts w:asciiTheme="majorHAnsi" w:eastAsia="gobCL" w:hAnsiTheme="majorHAnsi" w:cstheme="majorHAnsi"/>
                <w:sz w:val="22"/>
                <w:szCs w:val="22"/>
              </w:rPr>
              <w:t>subítem</w:t>
            </w:r>
            <w:proofErr w:type="spellEnd"/>
            <w:r w:rsidRPr="008A7592">
              <w:rPr>
                <w:rFonts w:asciiTheme="majorHAnsi" w:eastAsia="gobCL" w:hAnsiTheme="majorHAnsi" w:cstheme="majorHAnsi"/>
                <w:sz w:val="22"/>
                <w:szCs w:val="22"/>
              </w:rPr>
              <w:t xml:space="preserve"> presentados con boletas del beneficiario, socios, representantes legales, y sus respectivos cónyuges, conviviente civil, familiares por consanguinidad y afinidad, hasta segundo grado inclusive. Ver Anexo N° 3: Declaración Jurada de No Consanguinidad.</w:t>
            </w:r>
          </w:p>
          <w:p w:rsidR="001E72DB" w:rsidRPr="008A7592" w:rsidRDefault="001E72DB">
            <w:pPr>
              <w:ind w:left="212" w:hanging="201"/>
              <w:jc w:val="both"/>
              <w:rPr>
                <w:rFonts w:asciiTheme="majorHAnsi" w:eastAsia="gobCL" w:hAnsiTheme="majorHAnsi" w:cstheme="majorHAnsi"/>
                <w:sz w:val="22"/>
                <w:szCs w:val="22"/>
              </w:rPr>
            </w:pPr>
          </w:p>
          <w:p w:rsidR="001E72DB" w:rsidRPr="008A7592" w:rsidRDefault="006A5E87">
            <w:pPr>
              <w:ind w:left="212" w:hanging="201"/>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Se excluyen los gastos por flete señalado en este </w:t>
            </w:r>
            <w:proofErr w:type="spellStart"/>
            <w:r w:rsidRPr="008A7592">
              <w:rPr>
                <w:rFonts w:asciiTheme="majorHAnsi" w:eastAsia="gobCL" w:hAnsiTheme="majorHAnsi" w:cstheme="majorHAnsi"/>
                <w:sz w:val="22"/>
                <w:szCs w:val="22"/>
              </w:rPr>
              <w:t>subítem</w:t>
            </w:r>
            <w:proofErr w:type="spellEnd"/>
            <w:r w:rsidRPr="008A7592">
              <w:rPr>
                <w:rFonts w:asciiTheme="majorHAnsi" w:eastAsia="gobCL" w:hAnsiTheme="majorHAnsi" w:cstheme="majorHAnsi"/>
                <w:sz w:val="22"/>
                <w:szCs w:val="22"/>
              </w:rPr>
              <w:t>, presentados con boletas del beneficiario/a, socios, representantes legales, y sus respectivos cónyuges, conviviente civil, familiares por consanguinidad y afinidad hasta el segundo grado inclusive. Asimismo, se excluyen los gastos presentados con boletas del beneficiario, socios, representantes, y sus respectivos cónyuges, conviviente civil, familiares por consanguinidad y afinidad hasta el segundo grado inclusive. Ver Anexo N° 3: Declaración Jurada No Consanguinidad.</w:t>
            </w:r>
          </w:p>
          <w:p w:rsidR="001E72DB" w:rsidRPr="008A7592" w:rsidRDefault="001E72DB">
            <w:pPr>
              <w:ind w:left="212" w:hanging="201"/>
              <w:jc w:val="both"/>
              <w:rPr>
                <w:rFonts w:asciiTheme="majorHAnsi" w:eastAsia="gobCL" w:hAnsiTheme="majorHAnsi" w:cstheme="majorHAnsi"/>
                <w:sz w:val="22"/>
                <w:szCs w:val="22"/>
              </w:rPr>
            </w:pPr>
          </w:p>
        </w:tc>
      </w:tr>
    </w:tbl>
    <w:p w:rsidR="001E72DB" w:rsidRPr="008A7592" w:rsidRDefault="001E72DB">
      <w:pPr>
        <w:rPr>
          <w:rFonts w:asciiTheme="majorHAnsi" w:eastAsia="gobCL" w:hAnsiTheme="majorHAnsi" w:cstheme="majorHAnsi"/>
        </w:rPr>
      </w:pPr>
    </w:p>
    <w:tbl>
      <w:tblPr>
        <w:tblStyle w:val="afff6"/>
        <w:tblW w:w="8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7088"/>
      </w:tblGrid>
      <w:tr w:rsidR="001E72DB" w:rsidRPr="008A7592">
        <w:trPr>
          <w:trHeight w:val="576"/>
        </w:trPr>
        <w:tc>
          <w:tcPr>
            <w:tcW w:w="88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72DB" w:rsidRPr="008A7592" w:rsidRDefault="006A5E87">
            <w:pPr>
              <w:widowControl w:val="0"/>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t>CATEGORÍA: INVERSIONES</w:t>
            </w:r>
          </w:p>
        </w:tc>
      </w:tr>
      <w:tr w:rsidR="001E72DB" w:rsidRPr="008A7592">
        <w:trPr>
          <w:trHeight w:val="392"/>
        </w:trPr>
        <w:tc>
          <w:tcPr>
            <w:tcW w:w="1776" w:type="dxa"/>
            <w:shd w:val="clear" w:color="auto" w:fill="D9D9D9"/>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ITEM</w:t>
            </w:r>
          </w:p>
        </w:tc>
        <w:tc>
          <w:tcPr>
            <w:tcW w:w="7088" w:type="dxa"/>
            <w:shd w:val="clear" w:color="auto" w:fill="D9D9D9"/>
          </w:tcPr>
          <w:p w:rsidR="001E72DB" w:rsidRPr="008A7592" w:rsidRDefault="006A5E87">
            <w:pPr>
              <w:widowControl w:val="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SUBÍTEM / DESCRIPCIÓN</w:t>
            </w:r>
          </w:p>
        </w:tc>
      </w:tr>
      <w:tr w:rsidR="001E72DB" w:rsidRPr="008A7592">
        <w:tc>
          <w:tcPr>
            <w:tcW w:w="1776" w:type="dxa"/>
          </w:tcPr>
          <w:p w:rsidR="001E72DB" w:rsidRPr="008A7592" w:rsidRDefault="006A5E87">
            <w:pPr>
              <w:widowControl w:val="0"/>
              <w:numPr>
                <w:ilvl w:val="0"/>
                <w:numId w:val="3"/>
              </w:numPr>
              <w:ind w:left="214" w:hanging="214"/>
              <w:jc w:val="both"/>
              <w:rPr>
                <w:rFonts w:asciiTheme="majorHAnsi" w:eastAsia="gobCL" w:hAnsiTheme="majorHAnsi" w:cstheme="majorHAnsi"/>
                <w:b/>
                <w:sz w:val="22"/>
                <w:szCs w:val="22"/>
              </w:rPr>
            </w:pPr>
            <w:r w:rsidRPr="008A7592">
              <w:rPr>
                <w:rFonts w:asciiTheme="majorHAnsi" w:eastAsia="gobCL" w:hAnsiTheme="majorHAnsi" w:cstheme="majorHAnsi"/>
                <w:b/>
                <w:sz w:val="22"/>
                <w:szCs w:val="22"/>
              </w:rPr>
              <w:t>Activos</w:t>
            </w:r>
          </w:p>
        </w:tc>
        <w:tc>
          <w:tcPr>
            <w:tcW w:w="7088" w:type="dxa"/>
          </w:tcPr>
          <w:p w:rsidR="001E72DB" w:rsidRPr="008A7592" w:rsidRDefault="006A5E87">
            <w:pPr>
              <w:widowControl w:val="0"/>
              <w:numPr>
                <w:ilvl w:val="0"/>
                <w:numId w:val="14"/>
              </w:num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Activos fijos</w:t>
            </w:r>
            <w:r w:rsidRPr="008A7592">
              <w:rPr>
                <w:rFonts w:asciiTheme="majorHAnsi" w:eastAsia="gobCL" w:hAnsiTheme="majorHAnsi" w:cstheme="majorHAnsi"/>
                <w:sz w:val="22"/>
                <w:szCs w:val="22"/>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casas prefabricadas, invernaderos, contenedores (containers) y similares. Se incluyen, además, animales para fines reproductivos o de trabajo permanente en el proceso productivo o de servicio. Para otros activos biológicos, se determinará su </w:t>
            </w:r>
            <w:r w:rsidRPr="008A7592">
              <w:rPr>
                <w:rFonts w:asciiTheme="majorHAnsi" w:eastAsia="gobCL" w:hAnsiTheme="majorHAnsi" w:cstheme="majorHAnsi"/>
                <w:sz w:val="22"/>
                <w:szCs w:val="22"/>
              </w:rPr>
              <w:lastRenderedPageBreak/>
              <w:t>pertinencia de acuerdo a la naturaleza del proyecto en las distintas instancias de evaluación establecidas en los instrumentos. Se excluyen bienes raíces.</w:t>
            </w:r>
          </w:p>
          <w:p w:rsidR="001E72DB" w:rsidRPr="008A7592" w:rsidRDefault="001E72DB">
            <w:pPr>
              <w:widowControl w:val="0"/>
              <w:ind w:left="360"/>
              <w:jc w:val="both"/>
              <w:rPr>
                <w:rFonts w:asciiTheme="majorHAnsi" w:eastAsia="gobCL" w:hAnsiTheme="majorHAnsi" w:cstheme="majorHAnsi"/>
                <w:sz w:val="22"/>
                <w:szCs w:val="22"/>
              </w:rPr>
            </w:pPr>
          </w:p>
          <w:p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es decir, aquellos que se consumen con el uso.</w:t>
            </w:r>
          </w:p>
          <w:p w:rsidR="001E72DB" w:rsidRPr="008A7592" w:rsidRDefault="006A5E87">
            <w:pPr>
              <w:widowControl w:val="0"/>
              <w:ind w:left="36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Se aceptará el pago de la cuota inicial o pie de leasing financieros suscritos con bancos o instituciones financieras para el financiamiento de máquinas y/o equipos. Este financiamiento solo se podrá imputar como aporte empresarial.</w:t>
            </w:r>
          </w:p>
          <w:p w:rsidR="001E72DB" w:rsidRPr="008A7592" w:rsidRDefault="006A5E87">
            <w:pPr>
              <w:widowControl w:val="0"/>
              <w:numPr>
                <w:ilvl w:val="0"/>
                <w:numId w:val="14"/>
              </w:num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u w:val="single"/>
              </w:rPr>
              <w:t>Activos intangibles:</w:t>
            </w:r>
            <w:r w:rsidRPr="008A7592">
              <w:rPr>
                <w:rFonts w:asciiTheme="majorHAnsi" w:eastAsia="gobCL" w:hAnsiTheme="majorHAnsi" w:cstheme="majorHAnsi"/>
                <w:sz w:val="22"/>
                <w:szCs w:val="22"/>
              </w:rPr>
              <w:t xml:space="preserve"> corresponde a la adquisición de bienes intangibles, tales como software, registro de marca, manejo de inventario, catálogos digitales, entre otros que sean estrictamente necesarios para el funcionamiento del proyecto.</w:t>
            </w:r>
          </w:p>
          <w:p w:rsidR="001E72DB" w:rsidRPr="008A7592" w:rsidRDefault="001E72DB">
            <w:pPr>
              <w:widowControl w:val="0"/>
              <w:ind w:left="360"/>
              <w:jc w:val="both"/>
              <w:rPr>
                <w:rFonts w:asciiTheme="majorHAnsi" w:eastAsia="gobCL" w:hAnsiTheme="majorHAnsi" w:cstheme="majorHAnsi"/>
                <w:sz w:val="22"/>
                <w:szCs w:val="22"/>
              </w:rPr>
            </w:pPr>
          </w:p>
          <w:p w:rsidR="001E72DB" w:rsidRPr="008A7592" w:rsidRDefault="006A5E87">
            <w:pPr>
              <w:widowControl w:val="0"/>
              <w:ind w:left="134"/>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Se excluye la adquisición de bienes propios de uno de los socios, representantes o de sus respectivos cónyuges, conviviente civil, familiares por consanguinidad y afinidad hasta el segundo grado inclusive (hijos, padre, madre y hermanos).</w:t>
            </w:r>
          </w:p>
          <w:p w:rsidR="001E72DB" w:rsidRPr="008A7592" w:rsidRDefault="001E72DB">
            <w:pPr>
              <w:widowControl w:val="0"/>
              <w:ind w:left="134"/>
              <w:jc w:val="both"/>
              <w:rPr>
                <w:rFonts w:asciiTheme="majorHAnsi" w:eastAsia="gobCL" w:hAnsiTheme="majorHAnsi" w:cstheme="majorHAnsi"/>
                <w:sz w:val="22"/>
                <w:szCs w:val="22"/>
              </w:rPr>
            </w:pPr>
          </w:p>
        </w:tc>
      </w:tr>
      <w:tr w:rsidR="001E72DB" w:rsidRPr="008A7592">
        <w:tc>
          <w:tcPr>
            <w:tcW w:w="1776" w:type="dxa"/>
            <w:tcBorders>
              <w:top w:val="single" w:sz="4" w:space="0" w:color="000000"/>
              <w:left w:val="single" w:sz="4" w:space="0" w:color="000000"/>
              <w:bottom w:val="single" w:sz="4" w:space="0" w:color="000000"/>
              <w:right w:val="single" w:sz="4" w:space="0" w:color="000000"/>
            </w:tcBorders>
          </w:tcPr>
          <w:p w:rsidR="001E72DB" w:rsidRPr="008A7592" w:rsidRDefault="006A5E87">
            <w:pPr>
              <w:numPr>
                <w:ilvl w:val="0"/>
                <w:numId w:val="9"/>
              </w:numPr>
              <w:rPr>
                <w:rFonts w:asciiTheme="majorHAnsi" w:eastAsia="gobCL" w:hAnsiTheme="majorHAnsi" w:cstheme="majorHAnsi"/>
                <w:b/>
                <w:sz w:val="22"/>
                <w:szCs w:val="22"/>
              </w:rPr>
            </w:pPr>
            <w:r w:rsidRPr="008A7592">
              <w:rPr>
                <w:rFonts w:asciiTheme="majorHAnsi" w:eastAsia="gobCL" w:hAnsiTheme="majorHAnsi" w:cstheme="majorHAnsi"/>
                <w:b/>
                <w:sz w:val="22"/>
                <w:szCs w:val="22"/>
              </w:rPr>
              <w:lastRenderedPageBreak/>
              <w:t>Capital de trabajo</w:t>
            </w:r>
          </w:p>
          <w:p w:rsidR="001E72DB" w:rsidRPr="008A7592" w:rsidRDefault="001E72DB">
            <w:pPr>
              <w:ind w:left="356"/>
              <w:rPr>
                <w:rFonts w:asciiTheme="majorHAnsi" w:eastAsia="gobCL" w:hAnsiTheme="majorHAnsi" w:cstheme="majorHAnsi"/>
                <w:sz w:val="22"/>
                <w:szCs w:val="22"/>
              </w:rPr>
            </w:pPr>
          </w:p>
          <w:p w:rsidR="001E72DB" w:rsidRPr="008A7592" w:rsidRDefault="006A5E87">
            <w:pPr>
              <w:ind w:left="356"/>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Materias primas y materiales</w:t>
            </w:r>
            <w:r w:rsidRPr="008A7592">
              <w:rPr>
                <w:rFonts w:asciiTheme="majorHAnsi" w:eastAsia="gobCL" w:hAnsiTheme="majorHAnsi" w:cstheme="majorHAnsi"/>
                <w:color w:val="000000"/>
                <w:sz w:val="22"/>
                <w:szCs w:val="22"/>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Dentro de este </w:t>
            </w:r>
            <w:proofErr w:type="spellStart"/>
            <w:r w:rsidRPr="008A7592">
              <w:rPr>
                <w:rFonts w:asciiTheme="majorHAnsi" w:eastAsia="gobCL" w:hAnsiTheme="majorHAnsi" w:cstheme="majorHAnsi"/>
                <w:color w:val="000000"/>
                <w:sz w:val="22"/>
                <w:szCs w:val="22"/>
              </w:rPr>
              <w:t>subítem</w:t>
            </w:r>
            <w:proofErr w:type="spellEnd"/>
            <w:r w:rsidRPr="008A7592">
              <w:rPr>
                <w:rFonts w:asciiTheme="majorHAnsi" w:eastAsia="gobCL" w:hAnsiTheme="majorHAnsi" w:cstheme="majorHAnsi"/>
                <w:color w:val="000000"/>
                <w:sz w:val="22"/>
                <w:szCs w:val="22"/>
              </w:rPr>
              <w:t xml:space="preserve"> se incluye el gasto asociado al servicio de flete para traslado de los bienes desde el proveedor al lugar donde serán ubicados para la ejecución del proyecto. Se excluye el pago de servicio </w:t>
            </w:r>
            <w:r w:rsidRPr="008A7592">
              <w:rPr>
                <w:rFonts w:asciiTheme="majorHAnsi" w:eastAsia="gobCL" w:hAnsiTheme="majorHAnsi" w:cstheme="majorHAnsi"/>
                <w:color w:val="000000"/>
                <w:sz w:val="22"/>
                <w:szCs w:val="22"/>
              </w:rPr>
              <w:lastRenderedPageBreak/>
              <w:t xml:space="preserve">de flete a alguno de los socios/as, representantes legales o de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(hijos, padre, madre y hermanos) y autocontrataciones. Ver Anexo N° 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w:t>
            </w:r>
          </w:p>
          <w:p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Mercadería:</w:t>
            </w:r>
            <w:r w:rsidRPr="008A7592">
              <w:rPr>
                <w:rFonts w:asciiTheme="majorHAnsi" w:eastAsia="gobCL" w:hAnsiTheme="majorHAnsi" w:cstheme="majorHAnsi"/>
                <w:color w:val="000000"/>
                <w:sz w:val="22"/>
                <w:szCs w:val="22"/>
              </w:rPr>
              <w:t xml:space="preserve"> Comprende el gasto en aquellos bienes elaborados que serán objeto de venta directa o comercialización; por ejemplo, se compran y se venden pantalones.</w:t>
            </w:r>
          </w:p>
          <w:p w:rsidR="001E72DB" w:rsidRPr="008A7592" w:rsidRDefault="001E72DB">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p>
          <w:p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Dentro de este </w:t>
            </w:r>
            <w:proofErr w:type="spellStart"/>
            <w:r w:rsidRPr="008A7592">
              <w:rPr>
                <w:rFonts w:asciiTheme="majorHAnsi" w:eastAsia="gobCL" w:hAnsiTheme="majorHAnsi" w:cstheme="majorHAnsi"/>
                <w:color w:val="000000"/>
                <w:sz w:val="22"/>
                <w:szCs w:val="22"/>
              </w:rPr>
              <w:t>subítem</w:t>
            </w:r>
            <w:proofErr w:type="spellEnd"/>
            <w:r w:rsidRPr="008A7592">
              <w:rPr>
                <w:rFonts w:asciiTheme="majorHAnsi" w:eastAsia="gobCL" w:hAnsiTheme="majorHAnsi" w:cstheme="majorHAnsi"/>
                <w:color w:val="000000"/>
                <w:sz w:val="22"/>
                <w:szCs w:val="22"/>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(hijos, padre, madre y hermanos), y autocontrataciones. Ver Anexo N° 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w:t>
            </w:r>
          </w:p>
          <w:p w:rsidR="001E72DB" w:rsidRPr="008A7592"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rsidR="001E72DB" w:rsidRPr="008A7592" w:rsidRDefault="006A5E87">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Arriendos:</w:t>
            </w:r>
            <w:r w:rsidRPr="008A7592">
              <w:rPr>
                <w:rFonts w:asciiTheme="majorHAnsi" w:eastAsia="gobCL" w:hAnsiTheme="majorHAnsi" w:cstheme="majorHAnsi"/>
                <w:color w:val="000000"/>
                <w:sz w:val="22"/>
                <w:szCs w:val="22"/>
              </w:rPr>
              <w:t xml:space="preserve"> Comprende el gasto en arriendos, actuales o nuevos, de bienes raíces (industriales, comerciales o agrícolas), y/o maquinarias necesarias para el desarrollo del negocio. Sólo se financiarán arriendos por un plazo máximo de 4 meses, contados desde la firma </w:t>
            </w:r>
            <w:r w:rsidRPr="008A7592">
              <w:rPr>
                <w:rFonts w:asciiTheme="majorHAnsi" w:eastAsia="gobCL" w:hAnsiTheme="majorHAnsi" w:cstheme="majorHAnsi"/>
                <w:sz w:val="22"/>
                <w:szCs w:val="22"/>
              </w:rPr>
              <w:t>del contrato</w:t>
            </w:r>
            <w:r w:rsidRPr="008A7592">
              <w:rPr>
                <w:rFonts w:asciiTheme="majorHAnsi" w:eastAsia="gobCL" w:hAnsiTheme="majorHAnsi" w:cstheme="majorHAnsi"/>
                <w:color w:val="000000"/>
                <w:sz w:val="22"/>
                <w:szCs w:val="22"/>
              </w:rPr>
              <w:t xml:space="preserve"> con el AOS,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rsidR="001E72DB" w:rsidRPr="008A7592" w:rsidRDefault="001E72DB">
            <w:pPr>
              <w:pBdr>
                <w:top w:val="nil"/>
                <w:left w:val="nil"/>
                <w:bottom w:val="nil"/>
                <w:right w:val="nil"/>
                <w:between w:val="nil"/>
              </w:pBdr>
              <w:ind w:left="720"/>
              <w:rPr>
                <w:rFonts w:asciiTheme="majorHAnsi" w:eastAsia="gobCL" w:hAnsiTheme="majorHAnsi" w:cstheme="majorHAnsi"/>
                <w:color w:val="000000"/>
                <w:sz w:val="22"/>
                <w:szCs w:val="22"/>
              </w:rPr>
            </w:pPr>
          </w:p>
          <w:p w:rsidR="001E72DB" w:rsidRPr="008A7592" w:rsidRDefault="006A5E87">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El pago de consumos básicos</w:t>
            </w:r>
            <w:r w:rsidRPr="008A7592">
              <w:rPr>
                <w:rFonts w:asciiTheme="majorHAnsi" w:eastAsia="gobCL" w:hAnsiTheme="majorHAnsi" w:cstheme="majorHAnsi"/>
                <w:color w:val="000000"/>
                <w:sz w:val="22"/>
                <w:szCs w:val="22"/>
              </w:rPr>
              <w:t>: Considera el pago de cuentas de agua, energía eléctrica, gas, teléfono y/o internet, asociados al negocio afectado (la boleta o factura debe estar a nombre de la empresa).</w:t>
            </w:r>
          </w:p>
          <w:p w:rsidR="001E72DB" w:rsidRPr="008A7592" w:rsidRDefault="001E72DB">
            <w:pPr>
              <w:pBdr>
                <w:top w:val="nil"/>
                <w:left w:val="nil"/>
                <w:bottom w:val="nil"/>
                <w:right w:val="nil"/>
                <w:between w:val="nil"/>
              </w:pBdr>
              <w:ind w:left="720"/>
              <w:rPr>
                <w:rFonts w:asciiTheme="majorHAnsi" w:eastAsia="gobCL" w:hAnsiTheme="majorHAnsi" w:cstheme="majorHAnsi"/>
                <w:color w:val="000000"/>
                <w:sz w:val="22"/>
                <w:szCs w:val="22"/>
              </w:rPr>
            </w:pPr>
          </w:p>
          <w:p w:rsidR="001E72DB" w:rsidRPr="008A7592" w:rsidRDefault="006A5E87">
            <w:pPr>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Pago crédito de consumo Empresa:</w:t>
            </w:r>
            <w:r w:rsidRPr="008A7592">
              <w:rPr>
                <w:rFonts w:asciiTheme="majorHAnsi" w:eastAsia="gobCL" w:hAnsiTheme="majorHAnsi" w:cstheme="majorHAnsi"/>
                <w:color w:val="000000"/>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financieras reguladas por la Comisión para el Mercado Financiero (ex SBIF), y deben estar a nombre de una persona jurídica. Se podrán pagar hasta 4 cuotas, a contar del 01 de abril.</w:t>
            </w:r>
          </w:p>
          <w:p w:rsidR="001E72DB" w:rsidRPr="008A7592" w:rsidRDefault="001E72DB">
            <w:pPr>
              <w:widowControl w:val="0"/>
              <w:pBdr>
                <w:top w:val="nil"/>
                <w:left w:val="nil"/>
                <w:bottom w:val="nil"/>
                <w:right w:val="nil"/>
                <w:between w:val="nil"/>
              </w:pBdr>
              <w:ind w:left="356"/>
              <w:jc w:val="both"/>
              <w:rPr>
                <w:rFonts w:asciiTheme="majorHAnsi" w:eastAsia="gobCL" w:hAnsiTheme="majorHAnsi" w:cstheme="majorHAnsi"/>
                <w:color w:val="000000"/>
                <w:sz w:val="22"/>
                <w:szCs w:val="22"/>
              </w:rPr>
            </w:pPr>
          </w:p>
          <w:p w:rsidR="001E72DB" w:rsidRPr="008A7592" w:rsidRDefault="006A5E87">
            <w:pPr>
              <w:widowControl w:val="0"/>
              <w:numPr>
                <w:ilvl w:val="0"/>
                <w:numId w:val="7"/>
              </w:numPr>
              <w:pBdr>
                <w:top w:val="nil"/>
                <w:left w:val="nil"/>
                <w:bottom w:val="nil"/>
                <w:right w:val="nil"/>
                <w:between w:val="nil"/>
              </w:pBdr>
              <w:jc w:val="both"/>
              <w:rPr>
                <w:rFonts w:asciiTheme="majorHAnsi" w:eastAsia="gobCL" w:hAnsiTheme="majorHAnsi" w:cstheme="majorHAnsi"/>
                <w:color w:val="000000"/>
                <w:sz w:val="22"/>
                <w:szCs w:val="22"/>
              </w:rPr>
            </w:pPr>
            <w:r w:rsidRPr="008A7592">
              <w:rPr>
                <w:rFonts w:asciiTheme="majorHAnsi" w:eastAsia="gobCL" w:hAnsiTheme="majorHAnsi" w:cstheme="majorHAnsi"/>
                <w:b/>
                <w:color w:val="000000"/>
                <w:sz w:val="22"/>
                <w:szCs w:val="22"/>
                <w:u w:val="single"/>
              </w:rPr>
              <w:t>Pago de sueldos</w:t>
            </w:r>
            <w:r w:rsidRPr="008A7592">
              <w:rPr>
                <w:rFonts w:asciiTheme="majorHAnsi" w:eastAsia="gobCL" w:hAnsiTheme="majorHAnsi" w:cstheme="majorHAnsi"/>
                <w:color w:val="000000"/>
                <w:sz w:val="22"/>
                <w:szCs w:val="22"/>
              </w:rPr>
              <w:t xml:space="preserve">: Considera el pago de sueldos para aquellos casos en donde el empleador no se haya adscrito a la Ley 21.227 sobre </w:t>
            </w:r>
            <w:r w:rsidRPr="008A7592">
              <w:rPr>
                <w:rFonts w:asciiTheme="majorHAnsi" w:eastAsia="gobCL" w:hAnsiTheme="majorHAnsi" w:cstheme="majorHAnsi"/>
                <w:color w:val="000000"/>
                <w:sz w:val="22"/>
                <w:szCs w:val="22"/>
              </w:rPr>
              <w:lastRenderedPageBreak/>
              <w:t>Protección del Empleo. Para el pago retroactivo de este tipo de gasto, el contrato de trabajo, debe estar vigente y haber sido firmado en una fecha anterior al 1 de diciembre de 2019.</w:t>
            </w:r>
          </w:p>
          <w:p w:rsidR="001E72DB" w:rsidRPr="008A7592" w:rsidRDefault="001E72DB">
            <w:pPr>
              <w:pBdr>
                <w:top w:val="nil"/>
                <w:left w:val="nil"/>
                <w:bottom w:val="nil"/>
                <w:right w:val="nil"/>
                <w:between w:val="nil"/>
              </w:pBdr>
              <w:ind w:left="720"/>
              <w:rPr>
                <w:rFonts w:asciiTheme="majorHAnsi" w:eastAsia="gobCL" w:hAnsiTheme="majorHAnsi" w:cstheme="majorHAnsi"/>
                <w:color w:val="000000"/>
                <w:sz w:val="22"/>
                <w:szCs w:val="22"/>
              </w:rPr>
            </w:pPr>
          </w:p>
          <w:p w:rsidR="001E72DB" w:rsidRPr="008A7592" w:rsidRDefault="006A5E87">
            <w:pPr>
              <w:widowControl w:val="0"/>
              <w:pBdr>
                <w:top w:val="nil"/>
                <w:left w:val="nil"/>
                <w:bottom w:val="nil"/>
                <w:right w:val="nil"/>
                <w:between w:val="nil"/>
              </w:pBdr>
              <w:ind w:left="720"/>
              <w:jc w:val="both"/>
              <w:rPr>
                <w:rFonts w:asciiTheme="majorHAnsi" w:eastAsia="gobCL" w:hAnsiTheme="majorHAnsi" w:cstheme="majorHAnsi"/>
                <w:color w:val="000000"/>
                <w:sz w:val="22"/>
                <w:szCs w:val="22"/>
              </w:rPr>
            </w:pPr>
            <w:r w:rsidRPr="008A7592">
              <w:rPr>
                <w:rFonts w:asciiTheme="majorHAnsi" w:eastAsia="gobCL" w:hAnsiTheme="majorHAnsi" w:cstheme="majorHAnsi"/>
                <w:color w:val="000000"/>
                <w:sz w:val="22"/>
                <w:szCs w:val="22"/>
              </w:rPr>
              <w:t xml:space="preserve">Se excluyen: al beneficiario, socios, representantes legales y sus respectivos cónyuges, conviviente civil, familiares por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y afinidad hasta segundo grado inclusive (por ejemplo: hijos, padre, madre y hermanos). Ver Anexo N°3: Declaración Jurada de No </w:t>
            </w:r>
            <w:r w:rsidRPr="008A7592">
              <w:rPr>
                <w:rFonts w:asciiTheme="majorHAnsi" w:eastAsia="gobCL" w:hAnsiTheme="majorHAnsi" w:cstheme="majorHAnsi"/>
                <w:sz w:val="22"/>
                <w:szCs w:val="22"/>
              </w:rPr>
              <w:t>Consanguinidad</w:t>
            </w:r>
            <w:r w:rsidRPr="008A7592">
              <w:rPr>
                <w:rFonts w:asciiTheme="majorHAnsi" w:eastAsia="gobCL" w:hAnsiTheme="majorHAnsi" w:cstheme="majorHAnsi"/>
                <w:color w:val="000000"/>
                <w:sz w:val="22"/>
                <w:szCs w:val="22"/>
              </w:rPr>
              <w:t xml:space="preserve">.  </w:t>
            </w:r>
          </w:p>
          <w:p w:rsidR="001E72DB" w:rsidRPr="008A7592" w:rsidRDefault="001E72DB">
            <w:pPr>
              <w:widowControl w:val="0"/>
              <w:jc w:val="both"/>
              <w:rPr>
                <w:rFonts w:asciiTheme="majorHAnsi" w:eastAsia="gobCL" w:hAnsiTheme="majorHAnsi" w:cstheme="majorHAnsi"/>
                <w:sz w:val="22"/>
                <w:szCs w:val="22"/>
              </w:rPr>
            </w:pPr>
          </w:p>
        </w:tc>
      </w:tr>
    </w:tbl>
    <w:p w:rsidR="001E72DB" w:rsidRPr="008A7592" w:rsidRDefault="001E72DB">
      <w:pPr>
        <w:pBdr>
          <w:top w:val="nil"/>
          <w:left w:val="nil"/>
          <w:bottom w:val="nil"/>
          <w:right w:val="nil"/>
          <w:between w:val="nil"/>
        </w:pBdr>
        <w:spacing w:after="0"/>
        <w:jc w:val="both"/>
        <w:rPr>
          <w:rFonts w:asciiTheme="majorHAnsi" w:eastAsia="gobCL" w:hAnsiTheme="majorHAnsi" w:cstheme="majorHAnsi"/>
          <w:b/>
        </w:rPr>
      </w:pPr>
    </w:p>
    <w:p w:rsidR="001E72DB" w:rsidRPr="008A7592" w:rsidRDefault="006A5E87">
      <w:pPr>
        <w:pBdr>
          <w:top w:val="nil"/>
          <w:left w:val="nil"/>
          <w:bottom w:val="nil"/>
          <w:right w:val="nil"/>
          <w:between w:val="nil"/>
        </w:pBdr>
        <w:spacing w:after="0"/>
        <w:jc w:val="both"/>
        <w:rPr>
          <w:rFonts w:asciiTheme="majorHAnsi" w:eastAsia="gobCL" w:hAnsiTheme="majorHAnsi" w:cstheme="majorHAnsi"/>
          <w:b/>
        </w:rPr>
      </w:pPr>
      <w:r w:rsidRPr="008A7592">
        <w:rPr>
          <w:rFonts w:asciiTheme="majorHAnsi" w:eastAsia="gobCL" w:hAnsiTheme="majorHAnsi" w:cstheme="majorHAnsi"/>
          <w:b/>
        </w:rPr>
        <w:t xml:space="preserve">2.5. No se puede financiar con recursos Sercotec: </w:t>
      </w:r>
    </w:p>
    <w:p w:rsidR="001E72DB" w:rsidRPr="008A7592" w:rsidRDefault="001E72DB">
      <w:pPr>
        <w:pBdr>
          <w:top w:val="nil"/>
          <w:left w:val="nil"/>
          <w:bottom w:val="nil"/>
          <w:right w:val="nil"/>
          <w:between w:val="nil"/>
        </w:pBdr>
        <w:spacing w:after="0"/>
        <w:jc w:val="both"/>
        <w:rPr>
          <w:rFonts w:asciiTheme="majorHAnsi" w:eastAsia="gobCL" w:hAnsiTheme="majorHAnsi" w:cstheme="majorHAnsi"/>
          <w:b/>
        </w:rPr>
      </w:pPr>
    </w:p>
    <w:p w:rsidR="001E72DB" w:rsidRPr="008A7592" w:rsidRDefault="006A5E87">
      <w:pPr>
        <w:numPr>
          <w:ilvl w:val="0"/>
          <w:numId w:val="10"/>
        </w:numPr>
        <w:pBdr>
          <w:top w:val="nil"/>
          <w:left w:val="nil"/>
          <w:bottom w:val="nil"/>
          <w:right w:val="nil"/>
          <w:between w:val="nil"/>
        </w:pBdr>
        <w:spacing w:after="80"/>
        <w:rPr>
          <w:rFonts w:asciiTheme="majorHAnsi" w:eastAsia="gobCL" w:hAnsiTheme="majorHAnsi" w:cstheme="majorHAnsi"/>
        </w:rPr>
      </w:pPr>
      <w:r w:rsidRPr="008A7592">
        <w:rPr>
          <w:rFonts w:asciiTheme="majorHAnsi" w:eastAsia="gobCL" w:hAnsiTheme="majorHAnsi" w:cstheme="majorHAnsi"/>
        </w:rPr>
        <w:t>Lucro cesante</w:t>
      </w:r>
      <w:r w:rsidRPr="008A7592">
        <w:rPr>
          <w:rFonts w:asciiTheme="majorHAnsi" w:eastAsia="gobCL" w:hAnsiTheme="majorHAnsi" w:cstheme="majorHAnsi"/>
          <w:vertAlign w:val="superscript"/>
        </w:rPr>
        <w:footnoteReference w:id="4"/>
      </w:r>
      <w:r w:rsidRPr="008A7592">
        <w:rPr>
          <w:rFonts w:asciiTheme="majorHAnsi" w:eastAsia="gobCL" w:hAnsiTheme="majorHAnsi" w:cstheme="majorHAnsi"/>
        </w:rPr>
        <w:t xml:space="preserve"> ni sueldos patronales. </w:t>
      </w:r>
    </w:p>
    <w:p w:rsidR="001E72DB" w:rsidRPr="008A7592" w:rsidRDefault="006A5E87">
      <w:pPr>
        <w:numPr>
          <w:ilvl w:val="0"/>
          <w:numId w:val="10"/>
        </w:numPr>
        <w:pBdr>
          <w:top w:val="nil"/>
          <w:left w:val="nil"/>
          <w:bottom w:val="nil"/>
          <w:right w:val="nil"/>
          <w:between w:val="nil"/>
        </w:pBdr>
        <w:spacing w:before="8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 por los tres meses siguientes al término del contrato.</w:t>
      </w:r>
    </w:p>
    <w:p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La compra de bienes raíces, valores e instrumentos financieros (ahorros a plazo, depósitos en fondos mutuos, entre otros).</w:t>
      </w:r>
    </w:p>
    <w:p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Las compras consigo mismo, ni con sus respectivos cónyuges, convivientes civiles, hijos/as, ni las auto contrataciones</w:t>
      </w:r>
      <w:r w:rsidRPr="008A7592">
        <w:rPr>
          <w:rFonts w:asciiTheme="majorHAnsi" w:eastAsia="gobCL" w:hAnsiTheme="majorHAnsi" w:cstheme="majorHAnsi"/>
          <w:vertAlign w:val="superscript"/>
        </w:rPr>
        <w:footnoteReference w:id="5"/>
      </w:r>
      <w:r w:rsidRPr="008A7592">
        <w:rPr>
          <w:rFonts w:asciiTheme="majorHAnsi" w:eastAsia="gobCL" w:hAnsiTheme="majorHAnsi" w:cstheme="majorHAnsi"/>
        </w:rPr>
        <w:t>. En el caso de las personas jurídicas, se excluye a la totalidad de los socios/as que la conforman y a sus respectivos/as cónyuges, conviviente civil y/o hijos/as.</w:t>
      </w:r>
    </w:p>
    <w:p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t>Cuotas de créditos personales, garantías en obligaciones financieras, prenda, endoso, ni transferencias a terceros.</w:t>
      </w:r>
    </w:p>
    <w:p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b/>
        </w:rPr>
      </w:pPr>
      <w:r w:rsidRPr="008A7592">
        <w:rPr>
          <w:rFonts w:asciiTheme="majorHAnsi" w:eastAsia="gobCL" w:hAnsiTheme="majorHAnsi" w:cstheme="majorHAnsi"/>
        </w:rPr>
        <w:t>El pago de deudas (ejemplo deudas de casas comerciales), intereses o dividendos, salvo las expresamente autorizadas en las presentes bases.</w:t>
      </w:r>
    </w:p>
    <w:p w:rsidR="001E72DB" w:rsidRPr="008A7592" w:rsidRDefault="006A5E87">
      <w:pPr>
        <w:numPr>
          <w:ilvl w:val="0"/>
          <w:numId w:val="10"/>
        </w:numPr>
        <w:pBdr>
          <w:top w:val="nil"/>
          <w:left w:val="nil"/>
          <w:bottom w:val="nil"/>
          <w:right w:val="nil"/>
          <w:between w:val="nil"/>
        </w:pBdr>
        <w:spacing w:before="240" w:after="240" w:line="240" w:lineRule="auto"/>
        <w:ind w:left="714" w:hanging="357"/>
        <w:jc w:val="both"/>
        <w:rPr>
          <w:rFonts w:asciiTheme="majorHAnsi" w:eastAsia="gobCL" w:hAnsiTheme="majorHAnsi" w:cstheme="majorHAnsi"/>
        </w:rPr>
      </w:pPr>
      <w:r w:rsidRPr="008A7592">
        <w:rPr>
          <w:rFonts w:asciiTheme="majorHAnsi" w:eastAsia="gobCL" w:hAnsiTheme="majorHAnsi" w:cstheme="majorHAnsi"/>
        </w:rPr>
        <w:lastRenderedPageBreak/>
        <w:t>El pago a consultores (terceros) por asistencia en la etapa de postulación al instrumento.</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 Postulación</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3.1. Plazos de postulación</w:t>
      </w:r>
      <w:r w:rsidRPr="008A7592">
        <w:rPr>
          <w:rFonts w:asciiTheme="majorHAnsi" w:eastAsia="gobCL" w:hAnsiTheme="majorHAnsi" w:cstheme="majorHAnsi"/>
          <w:b/>
          <w:vertAlign w:val="superscript"/>
        </w:rPr>
        <w:footnoteReference w:id="6"/>
      </w:r>
    </w:p>
    <w:p w:rsidR="001E72DB" w:rsidRPr="008A7592" w:rsidRDefault="000D437A">
      <w:pPr>
        <w:spacing w:before="240" w:after="240" w:line="240" w:lineRule="auto"/>
        <w:jc w:val="both"/>
        <w:rPr>
          <w:rFonts w:asciiTheme="majorHAnsi" w:eastAsia="gobCL" w:hAnsiTheme="majorHAnsi" w:cstheme="majorHAnsi"/>
          <w:b/>
        </w:rPr>
      </w:pPr>
      <w:sdt>
        <w:sdtPr>
          <w:rPr>
            <w:rFonts w:asciiTheme="majorHAnsi" w:hAnsiTheme="majorHAnsi" w:cstheme="majorHAnsi"/>
          </w:rPr>
          <w:tag w:val="goog_rdk_2"/>
          <w:id w:val="-454253020"/>
        </w:sdtPr>
        <w:sdtEndPr/>
        <w:sdtContent/>
      </w:sdt>
      <w:r w:rsidR="006A5E87" w:rsidRPr="006E10E5">
        <w:rPr>
          <w:rFonts w:asciiTheme="majorHAnsi" w:eastAsia="gobCL" w:hAnsiTheme="majorHAnsi" w:cstheme="majorHAnsi"/>
          <w:b/>
        </w:rPr>
        <w:t xml:space="preserve">Los/as interesados/as podrán iniciar y enviar su postulación a contar de las 12:00 horas del día </w:t>
      </w:r>
      <w:r w:rsidR="00E57C2A" w:rsidRPr="006E10E5">
        <w:rPr>
          <w:rFonts w:asciiTheme="majorHAnsi" w:eastAsia="gobCL" w:hAnsiTheme="majorHAnsi" w:cstheme="majorHAnsi"/>
          <w:b/>
        </w:rPr>
        <w:t>2</w:t>
      </w:r>
      <w:r w:rsidR="00A656CE">
        <w:rPr>
          <w:rFonts w:asciiTheme="majorHAnsi" w:eastAsia="gobCL" w:hAnsiTheme="majorHAnsi" w:cstheme="majorHAnsi"/>
          <w:b/>
        </w:rPr>
        <w:t>5</w:t>
      </w:r>
      <w:bookmarkStart w:id="4" w:name="_GoBack"/>
      <w:bookmarkEnd w:id="4"/>
      <w:r w:rsidR="006A5E87" w:rsidRPr="006E10E5">
        <w:rPr>
          <w:rFonts w:asciiTheme="majorHAnsi" w:eastAsia="gobCL" w:hAnsiTheme="majorHAnsi" w:cstheme="majorHAnsi"/>
          <w:b/>
        </w:rPr>
        <w:t xml:space="preserve"> de </w:t>
      </w:r>
      <w:r w:rsidR="00E57C2A" w:rsidRPr="006E10E5">
        <w:rPr>
          <w:rFonts w:asciiTheme="majorHAnsi" w:eastAsia="gobCL" w:hAnsiTheme="majorHAnsi" w:cstheme="majorHAnsi"/>
          <w:b/>
        </w:rPr>
        <w:t>Septiembre</w:t>
      </w:r>
      <w:r w:rsidR="006A5E87" w:rsidRPr="006E10E5">
        <w:rPr>
          <w:rFonts w:asciiTheme="majorHAnsi" w:eastAsia="gobCL" w:hAnsiTheme="majorHAnsi" w:cstheme="majorHAnsi"/>
          <w:b/>
        </w:rPr>
        <w:t xml:space="preserve"> de 2020, hasta las 15:00 horas del día </w:t>
      </w:r>
      <w:r w:rsidR="00905748" w:rsidRPr="006E10E5">
        <w:rPr>
          <w:rFonts w:asciiTheme="majorHAnsi" w:eastAsia="gobCL" w:hAnsiTheme="majorHAnsi" w:cstheme="majorHAnsi"/>
          <w:b/>
        </w:rPr>
        <w:t>13</w:t>
      </w:r>
      <w:r w:rsidR="006A5E87" w:rsidRPr="006E10E5">
        <w:rPr>
          <w:rFonts w:asciiTheme="majorHAnsi" w:eastAsia="gobCL" w:hAnsiTheme="majorHAnsi" w:cstheme="majorHAnsi"/>
          <w:b/>
        </w:rPr>
        <w:t xml:space="preserve"> de </w:t>
      </w:r>
      <w:r w:rsidR="00E57C2A" w:rsidRPr="006E10E5">
        <w:rPr>
          <w:rFonts w:asciiTheme="majorHAnsi" w:eastAsia="gobCL" w:hAnsiTheme="majorHAnsi" w:cstheme="majorHAnsi"/>
          <w:b/>
        </w:rPr>
        <w:t>Octubre</w:t>
      </w:r>
      <w:r w:rsidR="006A5E87" w:rsidRPr="006E10E5">
        <w:rPr>
          <w:rFonts w:asciiTheme="majorHAnsi" w:eastAsia="gobCL" w:hAnsiTheme="majorHAnsi" w:cstheme="majorHAnsi"/>
          <w:b/>
        </w:rPr>
        <w:t xml:space="preserve"> de 2020.</w:t>
      </w:r>
      <w:r w:rsidR="006A5E87" w:rsidRPr="006E10E5">
        <w:rPr>
          <w:rFonts w:asciiTheme="majorHAnsi" w:eastAsia="gobCL" w:hAnsiTheme="majorHAnsi" w:cstheme="majorHAnsi"/>
          <w:b/>
          <w:vertAlign w:val="superscript"/>
        </w:rPr>
        <w:footnoteReference w:id="7"/>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 hora a considerar para los efectos del cierre de la convocatoria, será aquella configurada en los servidores de Sercotec</w:t>
      </w:r>
      <w:r w:rsidRPr="008A7592">
        <w:rPr>
          <w:rFonts w:asciiTheme="majorHAnsi" w:eastAsia="gobCL" w:hAnsiTheme="majorHAnsi" w:cstheme="majorHAnsi"/>
          <w:vertAlign w:val="superscript"/>
        </w:rPr>
        <w:footnoteReference w:id="8"/>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Los plazos anteriormente señalados podrán ser modificados por Sercotec y serán oportunamente informados a través de la página web </w:t>
      </w:r>
      <w:hyperlink r:id="rId9">
        <w:r w:rsidRPr="008A7592">
          <w:rPr>
            <w:rFonts w:asciiTheme="majorHAnsi" w:eastAsia="gobCL" w:hAnsiTheme="majorHAnsi" w:cstheme="majorHAnsi"/>
            <w:u w:val="single"/>
          </w:rPr>
          <w:t>www.sercotec.cl</w:t>
        </w:r>
      </w:hyperlink>
      <w:r w:rsidRPr="008A7592">
        <w:rPr>
          <w:rFonts w:asciiTheme="majorHAnsi" w:eastAsia="gobCL" w:hAnsiTheme="majorHAnsi" w:cstheme="majorHAnsi"/>
        </w:rPr>
        <w:t>.</w:t>
      </w:r>
    </w:p>
    <w:tbl>
      <w:tblPr>
        <w:tblStyle w:val="afff7"/>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E72DB" w:rsidRPr="008A7592">
        <w:tc>
          <w:tcPr>
            <w:tcW w:w="8789" w:type="dxa"/>
            <w:shd w:val="clear" w:color="auto" w:fill="D9D9D9"/>
          </w:tcPr>
          <w:p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Las postulaciones deben ser individuales y, por lo tanto, Sercotec aceptará como máximo una postulación por empresa.</w:t>
            </w:r>
          </w:p>
          <w:p w:rsidR="001E72DB" w:rsidRPr="008A7592" w:rsidRDefault="001E72DB">
            <w:pPr>
              <w:jc w:val="both"/>
              <w:rPr>
                <w:rFonts w:asciiTheme="majorHAnsi" w:eastAsia="gobCL" w:hAnsiTheme="majorHAnsi" w:cstheme="majorHAnsi"/>
                <w:sz w:val="22"/>
                <w:szCs w:val="22"/>
              </w:rPr>
            </w:pP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3.2. Pasos para postular</w:t>
      </w:r>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Para hacer efectiva la postulación, se deberán realizar las siguientes acciones:</w:t>
      </w:r>
    </w:p>
    <w:p w:rsidR="001E72DB" w:rsidRPr="008A7592" w:rsidRDefault="006A5E87">
      <w:pPr>
        <w:spacing w:before="240" w:after="240" w:line="276"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 xml:space="preserve">Registro de usuario/a Sercotec </w:t>
      </w:r>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 xml:space="preserve">Registrarse como usuario/a en www.sercotec.cl, o bien, actualizar sus antecedentes de registro.  El/la postulante realiza la postulación con la información ingresada en este registro, la cual será utilizada por Sercotec durante todo el proceso. Registro en </w:t>
      </w:r>
      <w:hyperlink r:id="rId10">
        <w:r w:rsidRPr="008A7592">
          <w:rPr>
            <w:rFonts w:asciiTheme="majorHAnsi" w:eastAsia="gobCL" w:hAnsiTheme="majorHAnsi" w:cstheme="majorHAnsi"/>
            <w:color w:val="000000"/>
            <w:u w:val="single"/>
          </w:rPr>
          <w:t>www.sercotec.cl</w:t>
        </w:r>
      </w:hyperlink>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b/>
          <w:u w:val="single"/>
        </w:rPr>
        <w:t>Video de Presentación-Pitch</w:t>
      </w:r>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El/la postulante deberá grabar un video de presentación de su idea de negocio, el cual debe tener como máximo 90 segundos de duración.</w:t>
      </w:r>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t>El concepto de Elevator Pitch fue creado en 1980 por Philip B. Crosby para comunicar a las personas objetivo o stakeholder,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rsidR="001E72DB" w:rsidRPr="008A7592" w:rsidRDefault="006A5E87">
      <w:pPr>
        <w:spacing w:before="240" w:after="240" w:line="276" w:lineRule="auto"/>
        <w:jc w:val="both"/>
        <w:rPr>
          <w:rFonts w:asciiTheme="majorHAnsi" w:eastAsia="gobCL" w:hAnsiTheme="majorHAnsi" w:cstheme="majorHAnsi"/>
        </w:rPr>
      </w:pPr>
      <w:r w:rsidRPr="008A7592">
        <w:rPr>
          <w:rFonts w:asciiTheme="majorHAnsi" w:eastAsia="gobCL" w:hAnsiTheme="majorHAnsi" w:cstheme="majorHAnsi"/>
        </w:rPr>
        <w:lastRenderedPageBreak/>
        <w:t xml:space="preserve">El video podrá ser grabado con cualquier tipo de dispositivo y para efectos de esta convocatoria y su correspondiente evaluación, deberá contar con la siguiente información: </w:t>
      </w:r>
    </w:p>
    <w:p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a.</w:t>
      </w:r>
      <w:r w:rsidRPr="008A7592">
        <w:rPr>
          <w:rFonts w:asciiTheme="majorHAnsi" w:eastAsia="gobCL" w:hAnsiTheme="majorHAnsi" w:cstheme="majorHAnsi"/>
        </w:rPr>
        <w:tab/>
        <w:t>Presentación del postulante.</w:t>
      </w:r>
    </w:p>
    <w:p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b.</w:t>
      </w:r>
      <w:r w:rsidRPr="008A7592">
        <w:rPr>
          <w:rFonts w:asciiTheme="majorHAnsi" w:eastAsia="gobCL" w:hAnsiTheme="majorHAnsi" w:cstheme="majorHAnsi"/>
        </w:rPr>
        <w:tab/>
        <w:t xml:space="preserve">Descripción de la problemática a resolver y potenciales clientes. </w:t>
      </w:r>
    </w:p>
    <w:p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c.</w:t>
      </w:r>
      <w:r w:rsidRPr="008A7592">
        <w:rPr>
          <w:rFonts w:asciiTheme="majorHAnsi" w:eastAsia="gobCL" w:hAnsiTheme="majorHAnsi" w:cstheme="majorHAnsi"/>
        </w:rPr>
        <w:tab/>
        <w:t>Descripción de la solución, oferta de valor y elementos que la diferencian.</w:t>
      </w:r>
    </w:p>
    <w:p w:rsidR="001E72DB" w:rsidRPr="008A7592" w:rsidRDefault="006A5E87">
      <w:pPr>
        <w:spacing w:after="0" w:line="240" w:lineRule="auto"/>
        <w:jc w:val="both"/>
        <w:rPr>
          <w:rFonts w:asciiTheme="majorHAnsi" w:eastAsia="gobCL" w:hAnsiTheme="majorHAnsi" w:cstheme="majorHAnsi"/>
        </w:rPr>
      </w:pPr>
      <w:r w:rsidRPr="008A7592">
        <w:rPr>
          <w:rFonts w:asciiTheme="majorHAnsi" w:eastAsia="gobCL" w:hAnsiTheme="majorHAnsi" w:cstheme="majorHAnsi"/>
        </w:rPr>
        <w:t>d.</w:t>
      </w:r>
      <w:r w:rsidRPr="008A7592">
        <w:rPr>
          <w:rFonts w:asciiTheme="majorHAnsi" w:eastAsia="gobCL" w:hAnsiTheme="majorHAnsi" w:cstheme="majorHAnsi"/>
        </w:rPr>
        <w:tab/>
        <w:t xml:space="preserve">Evaluación Global del Video </w:t>
      </w:r>
      <w:proofErr w:type="spellStart"/>
      <w:r w:rsidRPr="008A7592">
        <w:rPr>
          <w:rFonts w:asciiTheme="majorHAnsi" w:eastAsia="gobCL" w:hAnsiTheme="majorHAnsi" w:cstheme="majorHAnsi"/>
        </w:rPr>
        <w:t>PitchVideo</w:t>
      </w:r>
      <w:proofErr w:type="spellEnd"/>
      <w:r w:rsidRPr="008A7592">
        <w:rPr>
          <w:rFonts w:asciiTheme="majorHAnsi" w:eastAsia="gobCL" w:hAnsiTheme="majorHAnsi" w:cstheme="majorHAnsi"/>
        </w:rPr>
        <w:t xml:space="preserve"> de Presentación-Pitch</w:t>
      </w:r>
    </w:p>
    <w:p w:rsidR="001E72DB" w:rsidRPr="008A7592" w:rsidRDefault="001E72DB">
      <w:pPr>
        <w:spacing w:after="0" w:line="240" w:lineRule="auto"/>
        <w:jc w:val="both"/>
        <w:rPr>
          <w:rFonts w:asciiTheme="majorHAnsi" w:eastAsia="gobCL" w:hAnsiTheme="majorHAnsi" w:cstheme="majorHAnsi"/>
        </w:rPr>
      </w:pPr>
    </w:p>
    <w:p w:rsidR="001E72DB" w:rsidRPr="008A7592" w:rsidRDefault="001E72DB">
      <w:pPr>
        <w:spacing w:after="0" w:line="240" w:lineRule="auto"/>
        <w:jc w:val="both"/>
        <w:rPr>
          <w:rFonts w:asciiTheme="majorHAnsi" w:eastAsia="gobCL" w:hAnsiTheme="majorHAnsi" w:cstheme="majorHAnsi"/>
        </w:rPr>
      </w:pPr>
    </w:p>
    <w:tbl>
      <w:tblPr>
        <w:tblStyle w:val="afff8"/>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1E72DB" w:rsidRPr="008A7592">
        <w:tc>
          <w:tcPr>
            <w:tcW w:w="8902" w:type="dxa"/>
            <w:shd w:val="clear" w:color="auto" w:fill="D9D9D9"/>
          </w:tcPr>
          <w:p w:rsidR="001E72DB" w:rsidRPr="008A7592" w:rsidRDefault="000D437A">
            <w:pPr>
              <w:jc w:val="both"/>
              <w:rPr>
                <w:rFonts w:asciiTheme="majorHAnsi" w:eastAsia="gobCL" w:hAnsiTheme="majorHAnsi" w:cstheme="majorHAnsi"/>
                <w:b/>
                <w:sz w:val="22"/>
                <w:szCs w:val="22"/>
                <w:u w:val="single"/>
              </w:rPr>
            </w:pPr>
            <w:sdt>
              <w:sdtPr>
                <w:rPr>
                  <w:rFonts w:asciiTheme="majorHAnsi" w:hAnsiTheme="majorHAnsi" w:cstheme="majorHAnsi"/>
                </w:rPr>
                <w:tag w:val="goog_rdk_3"/>
                <w:id w:val="-1954702706"/>
              </w:sdtPr>
              <w:sdtEndPr/>
              <w:sdtContent/>
            </w:sdt>
            <w:r w:rsidR="006A5E87" w:rsidRPr="008A7592">
              <w:rPr>
                <w:rFonts w:asciiTheme="majorHAnsi" w:eastAsia="gobCL" w:hAnsiTheme="majorHAnsi" w:cstheme="majorHAnsi"/>
                <w:b/>
                <w:sz w:val="22"/>
                <w:szCs w:val="22"/>
                <w:u w:val="single"/>
              </w:rPr>
              <w:t xml:space="preserve">IMPORTANTE: </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La información solicitada deberá ser expuesta por el titular, representante legal y/o socio de la empresa postulante, quien </w:t>
            </w:r>
            <w:r w:rsidR="00687522" w:rsidRPr="008A7592">
              <w:rPr>
                <w:rFonts w:asciiTheme="majorHAnsi" w:eastAsia="gobCL" w:hAnsiTheme="majorHAnsi" w:cstheme="majorHAnsi"/>
                <w:sz w:val="22"/>
                <w:szCs w:val="22"/>
              </w:rPr>
              <w:t>deberá</w:t>
            </w:r>
            <w:r w:rsidRPr="008A7592">
              <w:rPr>
                <w:rFonts w:asciiTheme="majorHAnsi" w:eastAsia="gobCL" w:hAnsiTheme="majorHAnsi" w:cstheme="majorHAnsi"/>
                <w:sz w:val="22"/>
                <w:szCs w:val="22"/>
              </w:rPr>
              <w:t xml:space="preserve"> ser visible en el video. De no cumplirse con lo antes dicho, se evaluará con la nota más baja en cada uno de los criterios establecidos.</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Cada empresa postulante será responsable de que el video no infrinja la política de YouTube sobre propiedad intelectual, spam, prácticas engañosas y trampas.</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efectos de carga del video, la plataforma no permitirá la subida de videos con una duración mayor a 90 segundos. </w:t>
            </w:r>
          </w:p>
          <w:p w:rsidR="00687522" w:rsidRPr="008A7592" w:rsidRDefault="00687522">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efectos de evaluación, en caso que el postulante quede inadmisible la evaluación del video quedara con nota cero (0). </w:t>
            </w:r>
          </w:p>
          <w:p w:rsidR="001E72DB" w:rsidRPr="008A7592" w:rsidRDefault="006A5E87">
            <w:pPr>
              <w:jc w:val="both"/>
              <w:rPr>
                <w:rFonts w:asciiTheme="majorHAnsi" w:hAnsiTheme="majorHAnsi" w:cstheme="majorHAnsi"/>
                <w:sz w:val="22"/>
                <w:szCs w:val="22"/>
              </w:rPr>
            </w:pPr>
            <w:r w:rsidRPr="008A7592">
              <w:rPr>
                <w:rFonts w:asciiTheme="majorHAnsi" w:eastAsia="gobCL" w:hAnsiTheme="majorHAnsi" w:cstheme="majorHAnsi"/>
                <w:sz w:val="22"/>
                <w:szCs w:val="22"/>
              </w:rPr>
              <w:t>El video deberá ser hablado en idioma español. Para el caso de personas con discapacidad fonológica, podrán apoyarse con subtítulos u otro elemento visual que permita evaluar la idea de negocio.</w:t>
            </w:r>
          </w:p>
        </w:tc>
      </w:tr>
    </w:tbl>
    <w:p w:rsidR="001E72DB" w:rsidRPr="008A7592" w:rsidRDefault="001E72DB">
      <w:pPr>
        <w:spacing w:after="0" w:line="240" w:lineRule="auto"/>
        <w:jc w:val="both"/>
        <w:rPr>
          <w:rFonts w:asciiTheme="majorHAnsi" w:eastAsia="gobCL" w:hAnsiTheme="majorHAnsi" w:cstheme="majorHAnsi"/>
          <w:b/>
          <w:u w:val="single"/>
        </w:rPr>
      </w:pPr>
    </w:p>
    <w:p w:rsidR="001E72DB" w:rsidRPr="008A7592" w:rsidRDefault="006A5E87">
      <w:pPr>
        <w:spacing w:before="240" w:after="240" w:line="240" w:lineRule="auto"/>
        <w:jc w:val="both"/>
        <w:rPr>
          <w:rFonts w:asciiTheme="majorHAnsi" w:eastAsia="gobCL" w:hAnsiTheme="majorHAnsi" w:cstheme="majorHAnsi"/>
          <w:b/>
          <w:u w:val="single"/>
        </w:rPr>
      </w:pPr>
      <w:r w:rsidRPr="008A7592">
        <w:rPr>
          <w:rFonts w:asciiTheme="majorHAnsi" w:eastAsia="gobCL" w:hAnsiTheme="majorHAnsi" w:cstheme="majorHAnsi"/>
          <w:b/>
          <w:u w:val="single"/>
        </w:rPr>
        <w:t>Documentos adjuntos:</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Cada empresa postulante deberá adjuntar los siguientes documentos:</w:t>
      </w:r>
    </w:p>
    <w:p w:rsidR="001E72DB" w:rsidRPr="008A7592" w:rsidRDefault="006A5E87">
      <w:pPr>
        <w:numPr>
          <w:ilvl w:val="0"/>
          <w:numId w:val="12"/>
        </w:numPr>
        <w:pBdr>
          <w:top w:val="nil"/>
          <w:left w:val="nil"/>
          <w:bottom w:val="nil"/>
          <w:right w:val="nil"/>
          <w:between w:val="nil"/>
        </w:pBdr>
        <w:spacing w:before="240" w:after="0" w:line="240" w:lineRule="auto"/>
        <w:jc w:val="both"/>
        <w:rPr>
          <w:rFonts w:asciiTheme="majorHAnsi" w:eastAsia="gobCL" w:hAnsiTheme="majorHAnsi" w:cstheme="majorHAnsi"/>
        </w:rPr>
      </w:pPr>
      <w:r w:rsidRPr="008A7592">
        <w:rPr>
          <w:rFonts w:asciiTheme="majorHAnsi" w:eastAsia="gobCL" w:hAnsiTheme="majorHAnsi" w:cstheme="majorHAnsi"/>
        </w:rPr>
        <w:t xml:space="preserve">Carpeta tributaria para solicitar créditos completa, disponible en </w:t>
      </w:r>
      <w:hyperlink r:id="rId11">
        <w:r w:rsidRPr="008A7592">
          <w:rPr>
            <w:rFonts w:asciiTheme="majorHAnsi" w:eastAsia="gobCL" w:hAnsiTheme="majorHAnsi" w:cstheme="majorHAnsi"/>
            <w:u w:val="single"/>
          </w:rPr>
          <w:t>www.sii.cl</w:t>
        </w:r>
      </w:hyperlink>
      <w:r w:rsidRPr="008A7592">
        <w:rPr>
          <w:rFonts w:asciiTheme="majorHAnsi" w:eastAsia="gobCL" w:hAnsiTheme="majorHAnsi" w:cstheme="majorHAnsi"/>
        </w:rPr>
        <w:t xml:space="preserve">. </w:t>
      </w:r>
      <w:r w:rsidRPr="008A7592">
        <w:rPr>
          <w:rFonts w:asciiTheme="majorHAnsi" w:eastAsia="gobCL" w:hAnsiTheme="majorHAnsi" w:cstheme="majorHAnsi"/>
          <w:b/>
        </w:rPr>
        <w:t>Se deberá poner especial atención en que el documento contenga todos los formularios 29 de los períodos requeridos para efectos del cálculo, tanto del nivel de ventas, como para la disminución de éstas</w:t>
      </w:r>
      <w:r w:rsidRPr="008A7592">
        <w:rPr>
          <w:rFonts w:asciiTheme="majorHAnsi" w:eastAsia="gobCL" w:hAnsiTheme="majorHAnsi" w:cstheme="majorHAnsi"/>
          <w:b/>
          <w:vertAlign w:val="superscript"/>
        </w:rPr>
        <w:footnoteReference w:id="9"/>
      </w:r>
      <w:r w:rsidRPr="008A7592">
        <w:rPr>
          <w:rFonts w:asciiTheme="majorHAnsi" w:eastAsia="gobCL" w:hAnsiTheme="majorHAnsi" w:cstheme="majorHAnsi"/>
        </w:rPr>
        <w:t xml:space="preserve">. Este documento es obligatorio para todas las empresas postulantes. </w:t>
      </w:r>
    </w:p>
    <w:p w:rsidR="001E72DB" w:rsidRPr="008A7592" w:rsidRDefault="001E72DB">
      <w:pPr>
        <w:pBdr>
          <w:top w:val="nil"/>
          <w:left w:val="nil"/>
          <w:bottom w:val="nil"/>
          <w:right w:val="nil"/>
          <w:between w:val="nil"/>
        </w:pBdr>
        <w:spacing w:after="0" w:line="240" w:lineRule="auto"/>
        <w:ind w:left="426"/>
        <w:jc w:val="both"/>
        <w:rPr>
          <w:rFonts w:asciiTheme="majorHAnsi" w:eastAsia="gobCL" w:hAnsiTheme="majorHAnsi" w:cstheme="majorHAnsi"/>
        </w:rPr>
      </w:pPr>
    </w:p>
    <w:p w:rsidR="001E72DB" w:rsidRPr="008A7592" w:rsidRDefault="006A5E87">
      <w:pPr>
        <w:pBdr>
          <w:top w:val="nil"/>
          <w:left w:val="nil"/>
          <w:bottom w:val="nil"/>
          <w:right w:val="nil"/>
          <w:between w:val="nil"/>
        </w:pBdr>
        <w:spacing w:after="0" w:line="240" w:lineRule="auto"/>
        <w:jc w:val="both"/>
        <w:rPr>
          <w:rFonts w:asciiTheme="majorHAnsi" w:eastAsia="gobCL" w:hAnsiTheme="majorHAnsi" w:cstheme="majorHAnsi"/>
        </w:rPr>
      </w:pPr>
      <w:r w:rsidRPr="008A7592">
        <w:rPr>
          <w:rFonts w:asciiTheme="majorHAnsi" w:eastAsia="gobCL" w:hAnsiTheme="majorHAnsi" w:cstheme="majorHAnsi"/>
        </w:rPr>
        <w:t xml:space="preserve">Cabe mencionar que se aceptará una carpeta tributaria distinta a la “carpeta para solicitar créditos” que se obtiene en la web del SII, sólo en el caso en que sea posible obtener las ventas del período descrito anteriormente. </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rsidR="001E72DB" w:rsidRPr="008A7592" w:rsidRDefault="006A5E87">
      <w:pPr>
        <w:spacing w:before="240" w:after="240" w:line="240" w:lineRule="auto"/>
        <w:ind w:hanging="15"/>
        <w:jc w:val="both"/>
        <w:rPr>
          <w:rFonts w:asciiTheme="majorHAnsi" w:eastAsia="gobCL" w:hAnsiTheme="majorHAnsi" w:cstheme="majorHAnsi"/>
          <w:b/>
        </w:rPr>
      </w:pPr>
      <w:r w:rsidRPr="008A7592">
        <w:rPr>
          <w:rFonts w:asciiTheme="majorHAnsi" w:eastAsia="gobCL" w:hAnsiTheme="majorHAnsi" w:cstheme="majorHAnsi"/>
          <w:b/>
        </w:rPr>
        <w:lastRenderedPageBreak/>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 Evaluación y Selección</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Las postulaciones admisibles serán evaluadas en relación al porcentaje de disminución de ventas. Así, quienes obtengan mayor puntaje, serán aquellas empresas que hayan disminuido en mayor medida sus ventas en el período establecido.</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4.1. Evaluación de admisibilidad automática y manual</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4.2. Cálculo de puntaje.</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Una vez recibidas las postulaciones, el sistema “Revisión </w:t>
      </w:r>
      <w:proofErr w:type="spellStart"/>
      <w:r w:rsidRPr="008A7592">
        <w:rPr>
          <w:rFonts w:asciiTheme="majorHAnsi" w:eastAsia="gobCL" w:hAnsiTheme="majorHAnsi" w:cstheme="majorHAnsi"/>
        </w:rPr>
        <w:t>ElijoPyme</w:t>
      </w:r>
      <w:proofErr w:type="spellEnd"/>
      <w:r w:rsidRPr="008A7592">
        <w:rPr>
          <w:rFonts w:asciiTheme="majorHAnsi" w:eastAsia="gobCL" w:hAnsiTheme="majorHAnsi" w:cstheme="majorHAnsi"/>
        </w:rPr>
        <w:t xml:space="preserve"> II” o en su defecto el Agente Operador asignado, calculará las ventas de la empresa a partir de la información contenida en las carpetas tributarias, con el fin de identificar el porcentaje de variación de las ventas, comparando las ventas promedio:</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Para empresas con inicio de actividades </w:t>
      </w:r>
      <w:r w:rsidRPr="008A7592">
        <w:rPr>
          <w:rFonts w:asciiTheme="majorHAnsi" w:eastAsia="gobCL" w:hAnsiTheme="majorHAnsi" w:cstheme="majorHAnsi"/>
          <w:b/>
        </w:rPr>
        <w:t>anteriores a febrero 2019</w:t>
      </w:r>
      <w:r w:rsidRPr="008A7592">
        <w:rPr>
          <w:rFonts w:asciiTheme="majorHAnsi" w:eastAsia="gobCL" w:hAnsiTheme="majorHAnsi" w:cstheme="majorHAnsi"/>
        </w:rPr>
        <w:t>, el porcentaje de disminución de ventas se calculará comparando las ventas promedio del período 1 (febrero 2019 – julio 2019) con las ventas promedio del período 2 (febrero 2020 – julio 2020).</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Para empresas con inicio de actividades </w:t>
      </w:r>
      <w:r w:rsidRPr="008A7592">
        <w:rPr>
          <w:rFonts w:asciiTheme="majorHAnsi" w:eastAsia="gobCL" w:hAnsiTheme="majorHAnsi" w:cstheme="majorHAnsi"/>
          <w:b/>
        </w:rPr>
        <w:t>a partir de febrero 2019</w:t>
      </w:r>
      <w:r w:rsidRPr="008A7592">
        <w:rPr>
          <w:rFonts w:asciiTheme="majorHAnsi" w:eastAsia="gobCL" w:hAnsiTheme="majorHAnsi" w:cstheme="majorHAnsi"/>
        </w:rPr>
        <w:t xml:space="preserve">, el porcentaje de disminución de ventas se calculará comparando las ventas promedio del período 1 (febrero 2020– abril 2020), con las ventas promedio del período 2 (mayo 2020 - julio de 2020). </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La fórmula para calcular el puntaje de cada empresa postulante considera el porcentaje de disminución de ventas. Fórmula de cálculo:</w:t>
      </w:r>
    </w:p>
    <w:p w:rsidR="001E72DB" w:rsidRPr="008A7592" w:rsidRDefault="006A5E87">
      <w:pPr>
        <w:pBdr>
          <w:top w:val="single" w:sz="4" w:space="1" w:color="000000"/>
          <w:left w:val="single" w:sz="4" w:space="0" w:color="000000"/>
          <w:bottom w:val="single" w:sz="4" w:space="1" w:color="000000"/>
          <w:right w:val="single" w:sz="4" w:space="4" w:color="000000"/>
          <w:between w:val="single" w:sz="4" w:space="1" w:color="000000"/>
        </w:pBdr>
        <w:spacing w:before="240" w:after="240" w:line="240" w:lineRule="auto"/>
        <w:jc w:val="center"/>
        <w:rPr>
          <w:rFonts w:asciiTheme="majorHAnsi" w:eastAsia="gobCL" w:hAnsiTheme="majorHAnsi" w:cstheme="majorHAnsi"/>
          <w:b/>
        </w:rPr>
      </w:pPr>
      <w:r w:rsidRPr="008A7592">
        <w:rPr>
          <w:rFonts w:asciiTheme="majorHAnsi" w:eastAsia="gobCL" w:hAnsiTheme="majorHAnsi" w:cstheme="majorHAnsi"/>
          <w:b/>
        </w:rPr>
        <w:t>(% de disminución de ventas) = PUNTAJE TOTAL</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 xml:space="preserve">Los cálculos se considerarán con dos decimales, sin aproximación. </w:t>
      </w:r>
    </w:p>
    <w:p w:rsidR="001E72DB" w:rsidRPr="008A7592" w:rsidRDefault="006A5E87">
      <w:pP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rPr>
        <w:t xml:space="preserve">Dado el puntaje obtenido, corresponderá la siguiente nota en ésta etapa: </w:t>
      </w:r>
      <w:r w:rsidRPr="008A7592">
        <w:rPr>
          <w:rFonts w:asciiTheme="majorHAnsi" w:eastAsia="gobCL" w:hAnsiTheme="majorHAnsi" w:cstheme="majorHAnsi"/>
          <w:b/>
        </w:rPr>
        <w:t>(40%)</w:t>
      </w:r>
    </w:p>
    <w:p w:rsidR="001E72DB" w:rsidRPr="008A7592" w:rsidRDefault="001E72DB">
      <w:pPr>
        <w:spacing w:before="240" w:after="240" w:line="276" w:lineRule="auto"/>
        <w:jc w:val="both"/>
        <w:rPr>
          <w:rFonts w:asciiTheme="majorHAnsi" w:eastAsia="gobCL" w:hAnsiTheme="majorHAnsi" w:cstheme="majorHAnsi"/>
        </w:rPr>
      </w:pPr>
    </w:p>
    <w:tbl>
      <w:tblPr>
        <w:tblStyle w:val="afff9"/>
        <w:tblW w:w="5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417"/>
      </w:tblGrid>
      <w:tr w:rsidR="001E72DB" w:rsidRPr="008A7592">
        <w:trPr>
          <w:jc w:val="center"/>
        </w:trPr>
        <w:tc>
          <w:tcPr>
            <w:tcW w:w="4531" w:type="dxa"/>
            <w:shd w:val="clear" w:color="auto" w:fill="D9D9D9"/>
          </w:tcPr>
          <w:p w:rsidR="001E72DB" w:rsidRPr="008A7592" w:rsidRDefault="006A5E87">
            <w:pPr>
              <w:jc w:val="center"/>
              <w:rPr>
                <w:rFonts w:asciiTheme="majorHAnsi" w:hAnsiTheme="majorHAnsi" w:cstheme="majorHAnsi"/>
                <w:sz w:val="22"/>
                <w:szCs w:val="22"/>
              </w:rPr>
            </w:pPr>
            <w:r w:rsidRPr="008A7592">
              <w:rPr>
                <w:rFonts w:asciiTheme="majorHAnsi" w:hAnsiTheme="majorHAnsi" w:cstheme="majorHAnsi"/>
                <w:b/>
                <w:sz w:val="22"/>
                <w:szCs w:val="22"/>
              </w:rPr>
              <w:lastRenderedPageBreak/>
              <w:t>ELEMENTO</w:t>
            </w:r>
          </w:p>
        </w:tc>
        <w:tc>
          <w:tcPr>
            <w:tcW w:w="1417" w:type="dxa"/>
            <w:shd w:val="clear" w:color="auto" w:fill="D9D9D9"/>
          </w:tcPr>
          <w:p w:rsidR="001E72DB" w:rsidRPr="008A7592" w:rsidRDefault="006A5E87">
            <w:pPr>
              <w:jc w:val="center"/>
              <w:rPr>
                <w:rFonts w:asciiTheme="majorHAnsi" w:hAnsiTheme="majorHAnsi" w:cstheme="majorHAnsi"/>
                <w:sz w:val="22"/>
                <w:szCs w:val="22"/>
              </w:rPr>
            </w:pPr>
            <w:r w:rsidRPr="008A7592">
              <w:rPr>
                <w:rFonts w:asciiTheme="majorHAnsi" w:hAnsiTheme="majorHAnsi" w:cstheme="majorHAnsi"/>
                <w:b/>
                <w:sz w:val="22"/>
                <w:szCs w:val="22"/>
              </w:rPr>
              <w:t>PONDERACIÓN</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igual a 0%  o negativa</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Inadmisible</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 xml:space="preserve">Disminución de Ventas sobre el 0% y hasta un 5% </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3</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5% y hasta un 10%</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4</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10% y hasta un  15%</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5</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15% y hasta un 20%</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6</w:t>
            </w:r>
          </w:p>
        </w:tc>
      </w:tr>
      <w:tr w:rsidR="001E72DB" w:rsidRPr="008A7592">
        <w:trPr>
          <w:jc w:val="center"/>
        </w:trPr>
        <w:tc>
          <w:tcPr>
            <w:tcW w:w="4531" w:type="dxa"/>
          </w:tcPr>
          <w:p w:rsidR="001E72DB" w:rsidRPr="008A7592" w:rsidRDefault="006A5E87">
            <w:pPr>
              <w:rPr>
                <w:rFonts w:asciiTheme="majorHAnsi" w:hAnsiTheme="majorHAnsi" w:cstheme="majorHAnsi"/>
                <w:sz w:val="22"/>
                <w:szCs w:val="22"/>
              </w:rPr>
            </w:pPr>
            <w:r w:rsidRPr="008A7592">
              <w:rPr>
                <w:rFonts w:asciiTheme="majorHAnsi" w:hAnsiTheme="majorHAnsi" w:cstheme="majorHAnsi"/>
                <w:sz w:val="22"/>
                <w:szCs w:val="22"/>
              </w:rPr>
              <w:t>Disminución de Ventas sobre el 20%</w:t>
            </w:r>
          </w:p>
        </w:tc>
        <w:tc>
          <w:tcPr>
            <w:tcW w:w="1417" w:type="dxa"/>
          </w:tcPr>
          <w:p w:rsidR="001E72DB" w:rsidRPr="008A7592" w:rsidRDefault="006A5E87">
            <w:pPr>
              <w:jc w:val="center"/>
              <w:rPr>
                <w:rFonts w:asciiTheme="majorHAnsi" w:hAnsiTheme="majorHAnsi" w:cstheme="majorHAnsi"/>
                <w:b/>
                <w:sz w:val="22"/>
                <w:szCs w:val="22"/>
              </w:rPr>
            </w:pPr>
            <w:r w:rsidRPr="008A7592">
              <w:rPr>
                <w:rFonts w:asciiTheme="majorHAnsi" w:hAnsiTheme="majorHAnsi" w:cstheme="majorHAnsi"/>
                <w:b/>
                <w:sz w:val="22"/>
                <w:szCs w:val="22"/>
              </w:rPr>
              <w:t>7</w:t>
            </w:r>
          </w:p>
        </w:tc>
      </w:tr>
    </w:tbl>
    <w:p w:rsidR="001E72DB" w:rsidRPr="008A7592" w:rsidRDefault="001E72DB">
      <w:pPr>
        <w:jc w:val="both"/>
        <w:rPr>
          <w:rFonts w:asciiTheme="majorHAnsi" w:hAnsiTheme="majorHAnsi" w:cstheme="majorHAnsi"/>
          <w:highlight w:val="yellow"/>
        </w:rPr>
      </w:pPr>
      <w:bookmarkStart w:id="5" w:name="_heading=h.2et92p0" w:colFirst="0" w:colLast="0"/>
      <w:bookmarkEnd w:id="5"/>
    </w:p>
    <w:p w:rsidR="001E72DB" w:rsidRPr="008A7592" w:rsidRDefault="000D437A">
      <w:pPr>
        <w:jc w:val="both"/>
        <w:rPr>
          <w:rFonts w:asciiTheme="majorHAnsi" w:hAnsiTheme="majorHAnsi" w:cstheme="majorHAnsi"/>
        </w:rPr>
      </w:pPr>
      <w:sdt>
        <w:sdtPr>
          <w:rPr>
            <w:rFonts w:asciiTheme="majorHAnsi" w:hAnsiTheme="majorHAnsi" w:cstheme="majorHAnsi"/>
          </w:rPr>
          <w:tag w:val="goog_rdk_4"/>
          <w:id w:val="1615410658"/>
        </w:sdtPr>
        <w:sdtEndPr/>
        <w:sdtContent/>
      </w:sdt>
      <w:r w:rsidR="006A5E87" w:rsidRPr="008A7592">
        <w:rPr>
          <w:rFonts w:asciiTheme="majorHAnsi" w:hAnsiTheme="majorHAnsi" w:cstheme="majorHAnsi"/>
        </w:rPr>
        <w:t xml:space="preserve">Aquellos meses que figuren con ventas negativas y/o notas de créditos serán considerados con ventas en </w:t>
      </w:r>
      <w:r w:rsidR="00905748" w:rsidRPr="008A7592">
        <w:rPr>
          <w:rFonts w:asciiTheme="majorHAnsi" w:hAnsiTheme="majorHAnsi" w:cstheme="majorHAnsi"/>
        </w:rPr>
        <w:t>cero (</w:t>
      </w:r>
      <w:r w:rsidR="006A5E87" w:rsidRPr="008A7592">
        <w:rPr>
          <w:rFonts w:asciiTheme="majorHAnsi" w:hAnsiTheme="majorHAnsi" w:cstheme="majorHAnsi"/>
        </w:rPr>
        <w:t>0</w:t>
      </w:r>
      <w:r w:rsidR="00905748" w:rsidRPr="008A7592">
        <w:rPr>
          <w:rFonts w:asciiTheme="majorHAnsi" w:hAnsiTheme="majorHAnsi" w:cstheme="majorHAnsi"/>
        </w:rPr>
        <w:t>)</w:t>
      </w:r>
      <w:r w:rsidR="006A5E87" w:rsidRPr="008A7592">
        <w:rPr>
          <w:rFonts w:asciiTheme="majorHAnsi" w:hAnsiTheme="majorHAnsi" w:cstheme="majorHAnsi"/>
        </w:rPr>
        <w:t xml:space="preserve"> para evaluación</w:t>
      </w:r>
    </w:p>
    <w:p w:rsidR="001E72DB" w:rsidRPr="008A7592" w:rsidRDefault="006A5E87">
      <w:pPr>
        <w:keepNext/>
        <w:pBdr>
          <w:top w:val="nil"/>
          <w:left w:val="nil"/>
          <w:bottom w:val="nil"/>
          <w:right w:val="nil"/>
          <w:between w:val="nil"/>
        </w:pBdr>
        <w:tabs>
          <w:tab w:val="left" w:pos="709"/>
          <w:tab w:val="left" w:pos="567"/>
        </w:tabs>
        <w:spacing w:after="0" w:line="240" w:lineRule="auto"/>
        <w:jc w:val="both"/>
        <w:rPr>
          <w:rFonts w:asciiTheme="majorHAnsi" w:eastAsia="gobCL" w:hAnsiTheme="majorHAnsi" w:cstheme="majorHAnsi"/>
          <w:b/>
          <w:color w:val="000000"/>
        </w:rPr>
      </w:pPr>
      <w:bookmarkStart w:id="6" w:name="_heading=h.lnxbz9" w:colFirst="0" w:colLast="0"/>
      <w:bookmarkStart w:id="7" w:name="_heading=h.tyjcwt" w:colFirst="0" w:colLast="0"/>
      <w:bookmarkEnd w:id="6"/>
      <w:bookmarkEnd w:id="7"/>
      <w:r w:rsidRPr="008A7592">
        <w:rPr>
          <w:rFonts w:asciiTheme="majorHAnsi" w:eastAsia="gobCL" w:hAnsiTheme="majorHAnsi" w:cstheme="majorHAnsi"/>
          <w:b/>
          <w:color w:val="000000"/>
        </w:rPr>
        <w:t>Evaluación Técnica AOS</w:t>
      </w:r>
    </w:p>
    <w:p w:rsidR="001E72DB" w:rsidRPr="008A7592" w:rsidRDefault="001E72DB">
      <w:pPr>
        <w:keepNext/>
        <w:pBdr>
          <w:top w:val="nil"/>
          <w:left w:val="nil"/>
          <w:bottom w:val="nil"/>
          <w:right w:val="nil"/>
          <w:between w:val="nil"/>
        </w:pBdr>
        <w:tabs>
          <w:tab w:val="left" w:pos="709"/>
          <w:tab w:val="left" w:pos="567"/>
        </w:tabs>
        <w:spacing w:after="0" w:line="240" w:lineRule="auto"/>
        <w:ind w:left="567"/>
        <w:jc w:val="both"/>
        <w:rPr>
          <w:rFonts w:asciiTheme="majorHAnsi" w:eastAsia="gobCL" w:hAnsiTheme="majorHAnsi" w:cstheme="majorHAnsi"/>
          <w:b/>
          <w:color w:val="000000"/>
        </w:rPr>
      </w:pPr>
    </w:p>
    <w:p w:rsidR="001E72DB" w:rsidRPr="008A7592" w:rsidRDefault="006A5E87">
      <w:pPr>
        <w:jc w:val="both"/>
        <w:rPr>
          <w:rFonts w:asciiTheme="majorHAnsi" w:eastAsia="gobCL" w:hAnsiTheme="majorHAnsi" w:cstheme="majorHAnsi"/>
        </w:rPr>
      </w:pPr>
      <w:bookmarkStart w:id="8" w:name="_heading=h.3dy6vkm" w:colFirst="0" w:colLast="0"/>
      <w:bookmarkEnd w:id="8"/>
      <w:r w:rsidRPr="008A7592">
        <w:rPr>
          <w:rFonts w:asciiTheme="majorHAnsi" w:eastAsia="gobCL" w:hAnsiTheme="majorHAnsi" w:cstheme="majorHAnsi"/>
        </w:rPr>
        <w:t xml:space="preserve">Una vez definido el puntaje de corte y la nómina de empresas que serán evaluadas técnicamente, el Agente Operador procederá a realizar la evaluación técnica, que considera 1 componente: </w:t>
      </w:r>
      <w:r w:rsidRPr="008A7592">
        <w:rPr>
          <w:rFonts w:asciiTheme="majorHAnsi" w:eastAsia="gobCL" w:hAnsiTheme="majorHAnsi" w:cstheme="majorHAnsi"/>
          <w:b/>
        </w:rPr>
        <w:t>Video Pitch.</w:t>
      </w:r>
      <w:r w:rsidRPr="008A7592">
        <w:rPr>
          <w:rFonts w:asciiTheme="majorHAnsi" w:eastAsia="gobCL" w:hAnsiTheme="majorHAnsi" w:cstheme="majorHAnsi"/>
        </w:rPr>
        <w:t xml:space="preserve"> </w:t>
      </w:r>
    </w:p>
    <w:p w:rsidR="001E72DB" w:rsidRPr="008A7592" w:rsidRDefault="006A5E87">
      <w:pPr>
        <w:jc w:val="both"/>
        <w:rPr>
          <w:rFonts w:asciiTheme="majorHAnsi" w:eastAsia="gobCL" w:hAnsiTheme="majorHAnsi" w:cstheme="majorHAnsi"/>
        </w:rPr>
      </w:pPr>
      <w:r w:rsidRPr="008A7592">
        <w:rPr>
          <w:rFonts w:asciiTheme="majorHAnsi" w:eastAsia="gobCL" w:hAnsiTheme="majorHAnsi" w:cstheme="majorHAnsi"/>
        </w:rPr>
        <w:t>Las ponderaciones serán las siguientes:</w:t>
      </w:r>
    </w:p>
    <w:p w:rsidR="001E72DB" w:rsidRPr="008A7592" w:rsidRDefault="006A5E87">
      <w:pPr>
        <w:rPr>
          <w:rFonts w:asciiTheme="majorHAnsi" w:eastAsia="gobCL" w:hAnsiTheme="majorHAnsi" w:cstheme="majorHAnsi"/>
          <w:b/>
          <w:u w:val="single"/>
        </w:rPr>
      </w:pPr>
      <w:r w:rsidRPr="008A7592">
        <w:rPr>
          <w:rFonts w:asciiTheme="majorHAnsi" w:eastAsia="gobCL" w:hAnsiTheme="majorHAnsi" w:cstheme="majorHAnsi"/>
          <w:b/>
          <w:u w:val="single"/>
        </w:rPr>
        <w:t>Video Pitch (60%)</w:t>
      </w:r>
    </w:p>
    <w:tbl>
      <w:tblPr>
        <w:tblStyle w:val="afffa"/>
        <w:tblW w:w="8822" w:type="dxa"/>
        <w:tblInd w:w="279" w:type="dxa"/>
        <w:tblLayout w:type="fixed"/>
        <w:tblLook w:val="0400" w:firstRow="0" w:lastRow="0" w:firstColumn="0" w:lastColumn="0" w:noHBand="0" w:noVBand="1"/>
      </w:tblPr>
      <w:tblGrid>
        <w:gridCol w:w="425"/>
        <w:gridCol w:w="1701"/>
        <w:gridCol w:w="4712"/>
        <w:gridCol w:w="816"/>
        <w:gridCol w:w="1168"/>
      </w:tblGrid>
      <w:tr w:rsidR="001E72DB" w:rsidRPr="008A759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ind w:left="-14"/>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Descripción</w:t>
            </w:r>
          </w:p>
        </w:tc>
        <w:tc>
          <w:tcPr>
            <w:tcW w:w="816"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Puntaje</w:t>
            </w:r>
          </w:p>
        </w:tc>
        <w:tc>
          <w:tcPr>
            <w:tcW w:w="1168"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Ponderación</w:t>
            </w:r>
          </w:p>
        </w:tc>
      </w:tr>
      <w:tr w:rsidR="001E72DB" w:rsidRPr="008A7592">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Presentación del/la empresario/a</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se presenta, mencionando tanto su nombre, como la empresa o emprendimiento que representa y su respectivo cargo en ella.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10%</w:t>
            </w:r>
          </w:p>
        </w:tc>
      </w:tr>
      <w:tr w:rsidR="001E72DB" w:rsidRPr="008A7592">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se presenta por su nombre, pero no hace mención al emprendimiento o empresa que representa, ni el cargo que tiene en esta.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no hace mención a su nombre, solo a la empresa que representa.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no se presenta.</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26"/>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2</w:t>
            </w:r>
          </w:p>
          <w:p w:rsidR="001E72DB" w:rsidRPr="008A7592" w:rsidRDefault="001E72DB">
            <w:pPr>
              <w:jc w:val="center"/>
              <w:rPr>
                <w:rFonts w:asciiTheme="majorHAnsi" w:eastAsia="gobCL" w:hAnsiTheme="majorHAnsi" w:cstheme="majorHAnsi"/>
                <w:sz w:val="22"/>
                <w:szCs w:val="22"/>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Descripción de problemática a resolver y potenciales clientes</w:t>
            </w:r>
          </w:p>
          <w:p w:rsidR="001E72DB" w:rsidRPr="008A7592" w:rsidRDefault="001E72DB">
            <w:pPr>
              <w:jc w:val="center"/>
              <w:rPr>
                <w:rFonts w:asciiTheme="majorHAnsi" w:eastAsia="gobCL" w:hAnsiTheme="majorHAnsi" w:cstheme="majorHAnsi"/>
                <w:sz w:val="22"/>
                <w:szCs w:val="22"/>
              </w:rPr>
            </w:pPr>
          </w:p>
        </w:tc>
        <w:tc>
          <w:tcPr>
            <w:tcW w:w="4712" w:type="dxa"/>
            <w:tcBorders>
              <w:top w:val="single" w:sz="4" w:space="0" w:color="000000"/>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describe el problema que resuelve y a qué clientes está dirigido. Se apoya además en estadísticas.</w:t>
            </w:r>
          </w:p>
        </w:tc>
        <w:tc>
          <w:tcPr>
            <w:tcW w:w="816" w:type="dxa"/>
            <w:tcBorders>
              <w:top w:val="single" w:sz="4" w:space="0" w:color="000000"/>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20%</w:t>
            </w:r>
          </w:p>
          <w:p w:rsidR="001E72DB" w:rsidRPr="008A7592" w:rsidRDefault="001E72DB">
            <w:pPr>
              <w:jc w:val="center"/>
              <w:rPr>
                <w:rFonts w:asciiTheme="majorHAnsi" w:eastAsia="gobCL" w:hAnsiTheme="majorHAnsi" w:cstheme="majorHAnsi"/>
                <w:sz w:val="22"/>
                <w:szCs w:val="22"/>
              </w:rPr>
            </w:pPr>
          </w:p>
        </w:tc>
      </w:tr>
      <w:tr w:rsidR="001E72DB" w:rsidRPr="008A7592">
        <w:trPr>
          <w:trHeight w:val="41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describe el problema que resuelve y a qué clientes está dirigido, pero no se apoya en estadísticas.</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2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solo describe el problema, sin identificar a quién está dirigido.</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no describe el problema ni los clientes</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2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lastRenderedPageBreak/>
              <w:t>3</w:t>
            </w:r>
          </w:p>
        </w:tc>
        <w:tc>
          <w:tcPr>
            <w:tcW w:w="1701" w:type="dxa"/>
            <w:vMerge w:val="restart"/>
            <w:tcBorders>
              <w:top w:val="single" w:sz="4" w:space="0" w:color="000000"/>
              <w:left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Descripción de la solución, oferta de valor y elementos que diferencian</w:t>
            </w:r>
          </w:p>
        </w:tc>
        <w:tc>
          <w:tcPr>
            <w:tcW w:w="4712" w:type="dxa"/>
            <w:tcBorders>
              <w:top w:val="single" w:sz="4" w:space="0" w:color="000000"/>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describe la solución propuesta a la problemática, mencionando elementos diferenciadores de su oferta de valor</w:t>
            </w:r>
          </w:p>
        </w:tc>
        <w:tc>
          <w:tcPr>
            <w:tcW w:w="816" w:type="dxa"/>
            <w:tcBorders>
              <w:top w:val="single" w:sz="4" w:space="0" w:color="000000"/>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7</w:t>
            </w:r>
          </w:p>
        </w:tc>
        <w:tc>
          <w:tcPr>
            <w:tcW w:w="1168" w:type="dxa"/>
            <w:vMerge w:val="restart"/>
            <w:tcBorders>
              <w:top w:val="single" w:sz="4" w:space="0" w:color="000000"/>
              <w:left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20%</w:t>
            </w:r>
          </w:p>
        </w:tc>
      </w:tr>
      <w:tr w:rsidR="001E72DB" w:rsidRPr="008A7592">
        <w:trPr>
          <w:trHeight w:val="413"/>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b/>
                <w:sz w:val="22"/>
                <w:szCs w:val="22"/>
              </w:rPr>
            </w:pPr>
          </w:p>
        </w:tc>
        <w:tc>
          <w:tcPr>
            <w:tcW w:w="4712"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describe la solución propuesta a la problemática, sin mencionar  elementos diferenciadores de su oferta de valor</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5</w:t>
            </w:r>
          </w:p>
        </w:tc>
        <w:tc>
          <w:tcPr>
            <w:tcW w:w="1168"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solo describe su oferta de valor, sin hablar de la solución a la cual está dirigida</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3</w:t>
            </w:r>
          </w:p>
        </w:tc>
        <w:tc>
          <w:tcPr>
            <w:tcW w:w="1168"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r w:rsidR="001E72DB" w:rsidRPr="008A7592">
        <w:trPr>
          <w:trHeight w:val="40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1701"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712"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El/la empresario/a no describe solución ni oferta de valor</w:t>
            </w:r>
          </w:p>
        </w:tc>
        <w:tc>
          <w:tcPr>
            <w:tcW w:w="816" w:type="dxa"/>
            <w:tcBorders>
              <w:top w:val="nil"/>
              <w:left w:val="nil"/>
              <w:bottom w:val="single" w:sz="4" w:space="0" w:color="000000"/>
              <w:right w:val="single" w:sz="4" w:space="0" w:color="000000"/>
            </w:tcBorders>
            <w:shd w:val="clear" w:color="auto" w:fill="FFFFFF"/>
            <w:vAlign w:val="bottom"/>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w:t>
            </w:r>
          </w:p>
        </w:tc>
        <w:tc>
          <w:tcPr>
            <w:tcW w:w="1168" w:type="dxa"/>
            <w:vMerge/>
            <w:tcBorders>
              <w:top w:val="single" w:sz="4" w:space="0" w:color="000000"/>
              <w:left w:val="single" w:sz="4" w:space="0" w:color="000000"/>
              <w:right w:val="single" w:sz="4" w:space="0" w:color="000000"/>
            </w:tcBorders>
            <w:shd w:val="clear" w:color="auto" w:fill="FFFFFF"/>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r>
    </w:tbl>
    <w:p w:rsidR="001E72DB" w:rsidRPr="008A7592" w:rsidRDefault="001E72DB">
      <w:pPr>
        <w:rPr>
          <w:rFonts w:asciiTheme="majorHAnsi" w:eastAsia="gobCL" w:hAnsiTheme="majorHAnsi" w:cstheme="majorHAnsi"/>
        </w:rPr>
      </w:pPr>
    </w:p>
    <w:tbl>
      <w:tblPr>
        <w:tblStyle w:val="afffb"/>
        <w:tblW w:w="8822" w:type="dxa"/>
        <w:tblInd w:w="279" w:type="dxa"/>
        <w:tblLayout w:type="fixed"/>
        <w:tblLook w:val="0400" w:firstRow="0" w:lastRow="0" w:firstColumn="0" w:lastColumn="0" w:noHBand="0" w:noVBand="1"/>
      </w:tblPr>
      <w:tblGrid>
        <w:gridCol w:w="425"/>
        <w:gridCol w:w="1701"/>
        <w:gridCol w:w="4712"/>
        <w:gridCol w:w="850"/>
        <w:gridCol w:w="1134"/>
      </w:tblGrid>
      <w:tr w:rsidR="001E72DB" w:rsidRPr="008A759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N°</w:t>
            </w:r>
          </w:p>
        </w:tc>
        <w:tc>
          <w:tcPr>
            <w:tcW w:w="1701"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ind w:left="-14"/>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Criterio</w:t>
            </w:r>
          </w:p>
        </w:tc>
        <w:tc>
          <w:tcPr>
            <w:tcW w:w="4712"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Descripción</w:t>
            </w:r>
          </w:p>
        </w:tc>
        <w:tc>
          <w:tcPr>
            <w:tcW w:w="850"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Puntaje</w:t>
            </w:r>
          </w:p>
        </w:tc>
        <w:tc>
          <w:tcPr>
            <w:tcW w:w="1134"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Ponderación</w:t>
            </w:r>
          </w:p>
        </w:tc>
      </w:tr>
      <w:tr w:rsidR="001E72DB" w:rsidRPr="008A7592">
        <w:trPr>
          <w:trHeight w:val="42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Evaluación Global del Video Pitch</w:t>
            </w:r>
          </w:p>
        </w:tc>
        <w:tc>
          <w:tcPr>
            <w:tcW w:w="4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En este ítem se evaluará la claridad en el relato, la efectividad en el uso del tiempo asignado, la convicción del empresario, así como elementos diferenciadores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1 a 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50%</w:t>
            </w:r>
          </w:p>
        </w:tc>
      </w:tr>
    </w:tbl>
    <w:p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p w:rsidR="001E72DB" w:rsidRPr="008A7592" w:rsidRDefault="006A5E87">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r w:rsidRPr="008A7592">
        <w:rPr>
          <w:rFonts w:asciiTheme="majorHAnsi" w:eastAsia="gobCL" w:hAnsiTheme="majorHAnsi" w:cstheme="majorHAnsi"/>
          <w:color w:val="000000"/>
        </w:rPr>
        <w:t>Una vez finalizada la evaluación de video pitch y de porcentaje de disminución de ventas (2 y 3) mediante la siguiente tabla:</w:t>
      </w:r>
    </w:p>
    <w:p w:rsidR="001E72DB" w:rsidRPr="008A7592" w:rsidRDefault="001E72DB">
      <w:pPr>
        <w:keepNext/>
        <w:pBdr>
          <w:top w:val="nil"/>
          <w:left w:val="nil"/>
          <w:bottom w:val="nil"/>
          <w:right w:val="nil"/>
          <w:between w:val="nil"/>
        </w:pBdr>
        <w:tabs>
          <w:tab w:val="left" w:pos="709"/>
          <w:tab w:val="left" w:pos="284"/>
        </w:tabs>
        <w:spacing w:after="0" w:line="240" w:lineRule="auto"/>
        <w:jc w:val="both"/>
        <w:rPr>
          <w:rFonts w:asciiTheme="majorHAnsi" w:eastAsia="gobCL" w:hAnsiTheme="majorHAnsi" w:cstheme="majorHAnsi"/>
          <w:color w:val="000000"/>
        </w:rPr>
      </w:pPr>
    </w:p>
    <w:p w:rsidR="001E72DB" w:rsidRPr="008A7592" w:rsidRDefault="001E72DB">
      <w:pPr>
        <w:keepNext/>
        <w:pBdr>
          <w:top w:val="nil"/>
          <w:left w:val="nil"/>
          <w:bottom w:val="nil"/>
          <w:right w:val="nil"/>
          <w:between w:val="nil"/>
        </w:pBdr>
        <w:tabs>
          <w:tab w:val="left" w:pos="709"/>
          <w:tab w:val="left" w:pos="284"/>
        </w:tabs>
        <w:spacing w:after="0" w:line="240" w:lineRule="auto"/>
        <w:jc w:val="center"/>
        <w:rPr>
          <w:rFonts w:asciiTheme="majorHAnsi" w:eastAsia="gobCL" w:hAnsiTheme="majorHAnsi" w:cstheme="majorHAnsi"/>
          <w:color w:val="000000"/>
        </w:rPr>
      </w:pPr>
    </w:p>
    <w:tbl>
      <w:tblPr>
        <w:tblStyle w:val="afffc"/>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1960"/>
      </w:tblGrid>
      <w:tr w:rsidR="001E72DB" w:rsidRPr="008A7592">
        <w:trPr>
          <w:jc w:val="center"/>
        </w:trPr>
        <w:tc>
          <w:tcPr>
            <w:tcW w:w="4414" w:type="dxa"/>
            <w:shd w:val="clear" w:color="auto" w:fill="D9D9D9"/>
          </w:tcPr>
          <w:p w:rsidR="001E72DB" w:rsidRPr="008A7592" w:rsidRDefault="006A5E87">
            <w:pPr>
              <w:jc w:val="center"/>
              <w:rPr>
                <w:rFonts w:asciiTheme="majorHAnsi" w:eastAsia="gobCL" w:hAnsiTheme="majorHAnsi" w:cstheme="majorHAnsi"/>
                <w:b/>
                <w:sz w:val="22"/>
                <w:szCs w:val="22"/>
              </w:rPr>
            </w:pPr>
            <w:bookmarkStart w:id="9" w:name="_heading=h.1t3h5sf" w:colFirst="0" w:colLast="0"/>
            <w:bookmarkEnd w:id="9"/>
            <w:r w:rsidRPr="008A7592">
              <w:rPr>
                <w:rFonts w:asciiTheme="majorHAnsi" w:eastAsia="gobCL" w:hAnsiTheme="majorHAnsi" w:cstheme="majorHAnsi"/>
                <w:b/>
                <w:sz w:val="22"/>
                <w:szCs w:val="22"/>
              </w:rPr>
              <w:t>ELEMENTO</w:t>
            </w:r>
          </w:p>
        </w:tc>
        <w:tc>
          <w:tcPr>
            <w:tcW w:w="1960" w:type="dxa"/>
            <w:shd w:val="clear" w:color="auto" w:fill="D9D9D9"/>
          </w:tcPr>
          <w:p w:rsidR="001E72DB" w:rsidRPr="008A7592" w:rsidRDefault="006A5E87">
            <w:pPr>
              <w:jc w:val="center"/>
              <w:rPr>
                <w:rFonts w:asciiTheme="majorHAnsi" w:eastAsia="gobCL" w:hAnsiTheme="majorHAnsi" w:cstheme="majorHAnsi"/>
                <w:b/>
                <w:sz w:val="22"/>
                <w:szCs w:val="22"/>
              </w:rPr>
            </w:pPr>
            <w:bookmarkStart w:id="10" w:name="_heading=h.4d34og8" w:colFirst="0" w:colLast="0"/>
            <w:bookmarkEnd w:id="10"/>
            <w:r w:rsidRPr="008A7592">
              <w:rPr>
                <w:rFonts w:asciiTheme="majorHAnsi" w:eastAsia="gobCL" w:hAnsiTheme="majorHAnsi" w:cstheme="majorHAnsi"/>
                <w:b/>
                <w:sz w:val="22"/>
                <w:szCs w:val="22"/>
              </w:rPr>
              <w:t>PONDERACIÓN</w:t>
            </w:r>
          </w:p>
        </w:tc>
      </w:tr>
      <w:tr w:rsidR="001E72DB" w:rsidRPr="008A7592">
        <w:trPr>
          <w:jc w:val="center"/>
        </w:trPr>
        <w:tc>
          <w:tcPr>
            <w:tcW w:w="4414" w:type="dxa"/>
          </w:tcPr>
          <w:p w:rsidR="001E72DB" w:rsidRPr="008A7592" w:rsidRDefault="006A5E87">
            <w:pPr>
              <w:rPr>
                <w:rFonts w:asciiTheme="majorHAnsi" w:eastAsia="gobCL" w:hAnsiTheme="majorHAnsi" w:cstheme="majorHAnsi"/>
                <w:sz w:val="22"/>
                <w:szCs w:val="22"/>
              </w:rPr>
            </w:pPr>
            <w:bookmarkStart w:id="11" w:name="_heading=h.2s8eyo1" w:colFirst="0" w:colLast="0"/>
            <w:bookmarkEnd w:id="11"/>
            <w:r w:rsidRPr="008A7592">
              <w:rPr>
                <w:rFonts w:asciiTheme="majorHAnsi" w:eastAsia="gobCL" w:hAnsiTheme="majorHAnsi" w:cstheme="majorHAnsi"/>
                <w:sz w:val="22"/>
                <w:szCs w:val="22"/>
              </w:rPr>
              <w:t>Porcentaje de Disminución de Ventas Idea de Negocio</w:t>
            </w:r>
          </w:p>
        </w:tc>
        <w:tc>
          <w:tcPr>
            <w:tcW w:w="1960" w:type="dxa"/>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40%</w:t>
            </w:r>
          </w:p>
        </w:tc>
      </w:tr>
      <w:tr w:rsidR="001E72DB" w:rsidRPr="008A7592">
        <w:trPr>
          <w:jc w:val="center"/>
        </w:trPr>
        <w:tc>
          <w:tcPr>
            <w:tcW w:w="4414" w:type="dxa"/>
          </w:tcPr>
          <w:p w:rsidR="001E72DB" w:rsidRPr="008A7592" w:rsidRDefault="006A5E87">
            <w:pPr>
              <w:rPr>
                <w:rFonts w:asciiTheme="majorHAnsi" w:eastAsia="gobCL" w:hAnsiTheme="majorHAnsi" w:cstheme="majorHAnsi"/>
                <w:sz w:val="22"/>
                <w:szCs w:val="22"/>
              </w:rPr>
            </w:pPr>
            <w:bookmarkStart w:id="12" w:name="_heading=h.17dp8vu" w:colFirst="0" w:colLast="0"/>
            <w:bookmarkEnd w:id="12"/>
            <w:r w:rsidRPr="008A7592">
              <w:rPr>
                <w:rFonts w:asciiTheme="majorHAnsi" w:eastAsia="gobCL" w:hAnsiTheme="majorHAnsi" w:cstheme="majorHAnsi"/>
                <w:sz w:val="22"/>
                <w:szCs w:val="22"/>
              </w:rPr>
              <w:t>Video Pitch</w:t>
            </w:r>
          </w:p>
        </w:tc>
        <w:tc>
          <w:tcPr>
            <w:tcW w:w="1960" w:type="dxa"/>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60%</w:t>
            </w:r>
          </w:p>
        </w:tc>
      </w:tr>
      <w:tr w:rsidR="001E72DB" w:rsidRPr="008A7592">
        <w:trPr>
          <w:jc w:val="center"/>
        </w:trPr>
        <w:tc>
          <w:tcPr>
            <w:tcW w:w="4414" w:type="dxa"/>
          </w:tcPr>
          <w:p w:rsidR="001E72DB" w:rsidRPr="008A7592" w:rsidRDefault="006A5E87">
            <w:pPr>
              <w:jc w:val="right"/>
              <w:rPr>
                <w:rFonts w:asciiTheme="majorHAnsi" w:eastAsia="gobCL" w:hAnsiTheme="majorHAnsi" w:cstheme="majorHAnsi"/>
                <w:sz w:val="22"/>
                <w:szCs w:val="22"/>
              </w:rPr>
            </w:pPr>
            <w:bookmarkStart w:id="13" w:name="_heading=h.3rdcrjn" w:colFirst="0" w:colLast="0"/>
            <w:bookmarkEnd w:id="13"/>
            <w:r w:rsidRPr="008A7592">
              <w:rPr>
                <w:rFonts w:asciiTheme="majorHAnsi" w:eastAsia="gobCL" w:hAnsiTheme="majorHAnsi" w:cstheme="majorHAnsi"/>
                <w:sz w:val="22"/>
                <w:szCs w:val="22"/>
              </w:rPr>
              <w:t>TOTAL</w:t>
            </w:r>
          </w:p>
        </w:tc>
        <w:tc>
          <w:tcPr>
            <w:tcW w:w="1960" w:type="dxa"/>
          </w:tcPr>
          <w:p w:rsidR="001E72DB" w:rsidRPr="008A7592" w:rsidRDefault="006A5E87">
            <w:pPr>
              <w:jc w:val="center"/>
              <w:rPr>
                <w:rFonts w:asciiTheme="majorHAnsi" w:eastAsia="gobCL" w:hAnsiTheme="majorHAnsi" w:cstheme="majorHAnsi"/>
                <w:sz w:val="22"/>
                <w:szCs w:val="22"/>
              </w:rPr>
            </w:pPr>
            <w:bookmarkStart w:id="14" w:name="_heading=h.26in1rg" w:colFirst="0" w:colLast="0"/>
            <w:bookmarkEnd w:id="14"/>
            <w:r w:rsidRPr="008A7592">
              <w:rPr>
                <w:rFonts w:asciiTheme="majorHAnsi" w:eastAsia="gobCL" w:hAnsiTheme="majorHAnsi" w:cstheme="majorHAnsi"/>
                <w:sz w:val="22"/>
                <w:szCs w:val="22"/>
              </w:rPr>
              <w:t>100%</w:t>
            </w:r>
          </w:p>
        </w:tc>
      </w:tr>
    </w:tbl>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4.3. Selección de beneficiarios/as</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rPr>
        <w:t xml:space="preserve">En consideración de lo anterior, cada empresa obtendrá un puntaje que la situará en una posición dentro del </w:t>
      </w:r>
      <w:r w:rsidRPr="008A7592">
        <w:rPr>
          <w:rFonts w:asciiTheme="majorHAnsi" w:eastAsia="gobCL" w:hAnsiTheme="majorHAnsi" w:cstheme="majorHAnsi"/>
          <w:b/>
        </w:rPr>
        <w:t>Ranking Regional.</w:t>
      </w:r>
    </w:p>
    <w:p w:rsidR="001E72DB" w:rsidRPr="008A7592" w:rsidRDefault="006A5E87">
      <w:pPr>
        <w:shd w:val="clear" w:color="auto" w:fill="FFFFFF"/>
        <w:spacing w:before="240" w:after="240" w:line="240" w:lineRule="auto"/>
        <w:jc w:val="both"/>
        <w:rPr>
          <w:rFonts w:asciiTheme="majorHAnsi" w:eastAsia="gobCL" w:hAnsiTheme="majorHAnsi" w:cstheme="majorHAnsi"/>
          <w:color w:val="FF0000"/>
        </w:rPr>
      </w:pPr>
      <w:r w:rsidRPr="008A7592">
        <w:rPr>
          <w:rFonts w:asciiTheme="majorHAnsi" w:eastAsia="gobCL" w:hAnsiTheme="majorHAnsi" w:cstheme="majorHAnsi"/>
        </w:rPr>
        <w:t>Luego, sobre la base del ranking y del presupuesto disponible, se aplicará un puntaje de corte que determinará la lista de empresas seleccionadas y en lista de espera, que será validada por el Comité de Evaluación Regional (CER).</w:t>
      </w:r>
      <w:r w:rsidRPr="008A7592">
        <w:rPr>
          <w:rFonts w:asciiTheme="majorHAnsi" w:eastAsia="gobCL" w:hAnsiTheme="majorHAnsi" w:cstheme="majorHAnsi"/>
          <w:vertAlign w:val="superscript"/>
        </w:rPr>
        <w:footnoteReference w:id="10"/>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lastRenderedPageBreak/>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En el caso de que a el/la postulante seleccionado/a no acepte las condiciones para formalizar, se procederá de igual manera con el postulante que sigue en orden de puntaje, y así sucesivamente.</w:t>
      </w:r>
    </w:p>
    <w:tbl>
      <w:tblPr>
        <w:tblStyle w:val="aff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trPr>
          <w:jc w:val="center"/>
        </w:trPr>
        <w:tc>
          <w:tcPr>
            <w:tcW w:w="8907" w:type="dxa"/>
            <w:shd w:val="clear" w:color="auto" w:fill="D9D9D9"/>
            <w:tcMar>
              <w:top w:w="57" w:type="dxa"/>
              <w:bottom w:w="57" w:type="dxa"/>
            </w:tcMar>
          </w:tcPr>
          <w:p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octubre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5. Formalización</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Previo a la firma del contrato, si corresponde, los empresarios/as deben acompañar verificadores de los requisitos de formalización descritos en el punto 2.1.2 Requisitos de Formalización, de éstas Bases de Convocatoria. La firma del contrato deberá ser en un plazo máximo de 10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 xml:space="preserve">Dentro del plazo dispuesto para la formalización, se deberá realizar la formulación del Plan de Inversión, </w:t>
      </w:r>
      <w:r w:rsidRPr="008A7592">
        <w:rPr>
          <w:rFonts w:asciiTheme="majorHAnsi" w:eastAsia="gobCL" w:hAnsiTheme="majorHAnsi" w:cstheme="majorHAnsi"/>
          <w:b/>
          <w:u w:val="single"/>
        </w:rPr>
        <w:t>puesto que, en el contrato, debe quedar reflejado el monto del subsidio Sercotec.</w:t>
      </w:r>
    </w:p>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t>Frente a cualquier información o situación entregada que falte a la verdad, se dejará sin efecto la adjudicación realizada, ante lo cual Sercotec podrá iniciar las acciones legales correspondientes.</w:t>
      </w:r>
    </w:p>
    <w:tbl>
      <w:tblPr>
        <w:tblStyle w:val="aff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trPr>
          <w:jc w:val="center"/>
        </w:trPr>
        <w:tc>
          <w:tcPr>
            <w:tcW w:w="8907" w:type="dxa"/>
            <w:shd w:val="clear" w:color="auto" w:fill="D9D9D9"/>
            <w:tcMar>
              <w:top w:w="57" w:type="dxa"/>
              <w:bottom w:w="57" w:type="dxa"/>
            </w:tcMar>
          </w:tcPr>
          <w:p w:rsidR="001E72DB" w:rsidRPr="008A7592" w:rsidRDefault="006A5E87">
            <w:pPr>
              <w:jc w:val="both"/>
              <w:rPr>
                <w:rFonts w:asciiTheme="majorHAnsi" w:eastAsia="gobCL" w:hAnsiTheme="majorHAnsi" w:cstheme="majorHAnsi"/>
                <w:b/>
                <w:sz w:val="22"/>
                <w:szCs w:val="22"/>
                <w:u w:val="single"/>
              </w:rPr>
            </w:pPr>
            <w:r w:rsidRPr="008A7592">
              <w:rPr>
                <w:rFonts w:asciiTheme="majorHAnsi" w:eastAsia="gobCL" w:hAnsiTheme="majorHAnsi" w:cstheme="majorHAnsi"/>
                <w:b/>
                <w:sz w:val="22"/>
                <w:szCs w:val="22"/>
                <w:u w:val="single"/>
              </w:rPr>
              <w:t>IMPORTANTE:</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1E72DB" w:rsidRPr="008A7592" w:rsidRDefault="006A5E87">
      <w:pPr>
        <w:spacing w:before="240" w:after="240" w:line="240" w:lineRule="auto"/>
        <w:jc w:val="both"/>
        <w:rPr>
          <w:rFonts w:asciiTheme="majorHAnsi" w:eastAsia="gobCL" w:hAnsiTheme="majorHAnsi" w:cstheme="majorHAnsi"/>
        </w:rPr>
      </w:pPr>
      <w:r w:rsidRPr="008A7592">
        <w:rPr>
          <w:rFonts w:asciiTheme="majorHAnsi" w:eastAsia="gobCL" w:hAnsiTheme="majorHAnsi" w:cstheme="majorHAnsi"/>
        </w:rPr>
        <w:lastRenderedPageBreak/>
        <w:t xml:space="preserve">Los días hábiles administrativos excluyen los días sábados, domingos y festivos. </w:t>
      </w:r>
    </w:p>
    <w:p w:rsidR="001E72DB" w:rsidRPr="008A7592" w:rsidRDefault="006A5E87">
      <w:pPr>
        <w:spacing w:before="240" w:after="240" w:line="240" w:lineRule="auto"/>
        <w:jc w:val="both"/>
        <w:rPr>
          <w:rFonts w:asciiTheme="majorHAnsi" w:eastAsia="gobCL" w:hAnsiTheme="majorHAnsi" w:cstheme="majorHAnsi"/>
          <w:b/>
        </w:rPr>
      </w:pPr>
      <w:r w:rsidRPr="008A7592">
        <w:rPr>
          <w:rFonts w:asciiTheme="majorHAnsi" w:eastAsia="gobCL" w:hAnsiTheme="majorHAnsi" w:cstheme="majorHAnsi"/>
          <w:b/>
        </w:rPr>
        <w:t>6. Implementación del Plan de Inversión</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Los/as beneficiarios/as de la presente convocatoria deberán ejecutar el Plan de Inversión de acuerdo a la programación definida, conforme a las condiciones comprometidas en el contrato suscrito con el AOS </w:t>
      </w:r>
      <w:r w:rsidRPr="008A7592">
        <w:rPr>
          <w:rFonts w:asciiTheme="majorHAnsi" w:eastAsia="gobCL" w:hAnsiTheme="majorHAnsi" w:cstheme="majorHAnsi"/>
          <w:color w:val="000000"/>
        </w:rPr>
        <w:t>en base a los siguientes ítems:</w:t>
      </w:r>
    </w:p>
    <w:p w:rsidR="001E72DB" w:rsidRPr="008A7592" w:rsidRDefault="006A5E87">
      <w:pPr>
        <w:spacing w:after="0" w:line="240" w:lineRule="auto"/>
        <w:jc w:val="both"/>
        <w:rPr>
          <w:rFonts w:asciiTheme="majorHAnsi" w:eastAsia="Times New Roman" w:hAnsiTheme="majorHAnsi" w:cstheme="majorHAnsi"/>
        </w:rPr>
      </w:pPr>
      <w:r w:rsidRPr="008A7592">
        <w:rPr>
          <w:rFonts w:asciiTheme="majorHAnsi" w:eastAsia="gobCL" w:hAnsiTheme="majorHAnsi" w:cstheme="majorHAnsi"/>
          <w:color w:val="000000"/>
        </w:rPr>
        <w:t>a.</w:t>
      </w:r>
      <w:r w:rsidRPr="008A7592">
        <w:rPr>
          <w:rFonts w:asciiTheme="majorHAnsi" w:eastAsia="gobCL" w:hAnsiTheme="majorHAnsi" w:cstheme="majorHAnsi"/>
          <w:color w:val="000000"/>
        </w:rPr>
        <w:tab/>
        <w:t>Acciones de Gestión Empresarial.</w:t>
      </w:r>
    </w:p>
    <w:p w:rsidR="001E72DB" w:rsidRPr="008A7592" w:rsidRDefault="006A5E87">
      <w:pPr>
        <w:spacing w:after="0" w:line="240" w:lineRule="auto"/>
        <w:jc w:val="both"/>
        <w:rPr>
          <w:rFonts w:asciiTheme="majorHAnsi" w:eastAsia="Times New Roman" w:hAnsiTheme="majorHAnsi" w:cstheme="majorHAnsi"/>
        </w:rPr>
      </w:pPr>
      <w:r w:rsidRPr="008A7592">
        <w:rPr>
          <w:rFonts w:asciiTheme="majorHAnsi" w:eastAsia="gobCL" w:hAnsiTheme="majorHAnsi" w:cstheme="majorHAnsi"/>
          <w:color w:val="000000"/>
        </w:rPr>
        <w:t>b.</w:t>
      </w:r>
      <w:r w:rsidRPr="008A7592">
        <w:rPr>
          <w:rFonts w:asciiTheme="majorHAnsi" w:eastAsia="gobCL" w:hAnsiTheme="majorHAnsi" w:cstheme="majorHAnsi"/>
          <w:color w:val="000000"/>
        </w:rPr>
        <w:tab/>
        <w:t>Inversiones.</w:t>
      </w:r>
    </w:p>
    <w:p w:rsidR="001E72DB" w:rsidRPr="008A7592" w:rsidRDefault="001E72DB">
      <w:pPr>
        <w:spacing w:after="0" w:line="240" w:lineRule="auto"/>
        <w:jc w:val="both"/>
        <w:rPr>
          <w:rFonts w:asciiTheme="majorHAnsi" w:eastAsia="Times New Roman" w:hAnsiTheme="majorHAnsi" w:cstheme="majorHAnsi"/>
        </w:rPr>
      </w:pP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El/la beneficiario/a contará con el acompañamiento del AOS, con la finalidad de lograr la correcta implementación del programa, asegurar la correcta utilización de los recursos adjudicados y asistir en el proceso de rendición de recursos.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 Las compras podrán realizarse a través de las siguientes modalidades:</w:t>
      </w:r>
    </w:p>
    <w:p w:rsidR="001E72DB" w:rsidRPr="008A7592" w:rsidRDefault="006A5E87">
      <w:pPr>
        <w:numPr>
          <w:ilvl w:val="1"/>
          <w:numId w:val="13"/>
        </w:numPr>
        <w:pBdr>
          <w:top w:val="nil"/>
          <w:left w:val="nil"/>
          <w:bottom w:val="nil"/>
          <w:right w:val="nil"/>
          <w:between w:val="nil"/>
        </w:pBdr>
        <w:spacing w:before="240" w:after="0"/>
        <w:ind w:left="709"/>
        <w:jc w:val="both"/>
        <w:rPr>
          <w:rFonts w:asciiTheme="majorHAnsi" w:eastAsia="gobCL" w:hAnsiTheme="majorHAnsi" w:cstheme="majorHAnsi"/>
        </w:rPr>
      </w:pPr>
      <w:r w:rsidRPr="008A7592">
        <w:rPr>
          <w:rFonts w:asciiTheme="majorHAnsi" w:eastAsia="gobCL" w:hAnsiTheme="majorHAnsi" w:cstheme="majorHAnsi"/>
          <w:b/>
        </w:rPr>
        <w:t>Compra asistida por el AOS</w:t>
      </w:r>
      <w:r w:rsidRPr="008A7592">
        <w:rPr>
          <w:rFonts w:asciiTheme="majorHAnsi" w:eastAsia="gobCL" w:hAnsiTheme="majorHAnsi" w:cstheme="majorHAnsi"/>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$100.000.- (cien mil pesos) netos. De esta forma, todas las compras bajo dicho monto, deben ser financiadas a través del mecanismo de reembolso.</w:t>
      </w:r>
    </w:p>
    <w:p w:rsidR="001E72DB" w:rsidRPr="008A7592" w:rsidRDefault="001E72DB">
      <w:pPr>
        <w:pBdr>
          <w:top w:val="nil"/>
          <w:left w:val="nil"/>
          <w:bottom w:val="nil"/>
          <w:right w:val="nil"/>
          <w:between w:val="nil"/>
        </w:pBdr>
        <w:spacing w:after="0"/>
        <w:ind w:left="426" w:hanging="720"/>
        <w:jc w:val="both"/>
        <w:rPr>
          <w:rFonts w:asciiTheme="majorHAnsi" w:eastAsia="gobCL" w:hAnsiTheme="majorHAnsi" w:cstheme="majorHAnsi"/>
        </w:rPr>
      </w:pPr>
    </w:p>
    <w:p w:rsidR="001E72DB" w:rsidRPr="008A7592" w:rsidRDefault="006A5E87">
      <w:pPr>
        <w:numPr>
          <w:ilvl w:val="0"/>
          <w:numId w:val="13"/>
        </w:numPr>
        <w:pBdr>
          <w:top w:val="nil"/>
          <w:left w:val="nil"/>
          <w:bottom w:val="nil"/>
          <w:right w:val="nil"/>
          <w:between w:val="nil"/>
        </w:pBdr>
        <w:spacing w:after="240"/>
        <w:jc w:val="both"/>
        <w:rPr>
          <w:rFonts w:asciiTheme="majorHAnsi" w:eastAsia="gobCL" w:hAnsiTheme="majorHAnsi" w:cstheme="majorHAnsi"/>
        </w:rPr>
      </w:pPr>
      <w:r w:rsidRPr="008A7592">
        <w:rPr>
          <w:rFonts w:asciiTheme="majorHAnsi" w:eastAsia="gobCL" w:hAnsiTheme="majorHAnsi" w:cstheme="majorHAnsi"/>
          <w:b/>
        </w:rPr>
        <w:t>Reembolso de gastos realizados:</w:t>
      </w:r>
      <w:r w:rsidRPr="008A7592">
        <w:rPr>
          <w:rFonts w:asciiTheme="majorHAnsi" w:eastAsia="gobCL" w:hAnsiTheme="majorHAnsi" w:cstheme="majorHAnsi"/>
        </w:rPr>
        <w:t xml:space="preserve"> De acuerdo al detalle y montos de gastos aprobados en el Plan de Inversión. El beneficiario/a deberá presentar la factura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b/>
        </w:rPr>
        <w:t>La implementación del subsidio, y su respectiva rendición, no podrá tener un plazo superior a 2 (dos) meses</w:t>
      </w:r>
      <w:r w:rsidRPr="008A7592">
        <w:rPr>
          <w:rFonts w:asciiTheme="majorHAnsi" w:eastAsia="gobCL" w:hAnsiTheme="majorHAnsi" w:cstheme="majorHAnsi"/>
        </w:rPr>
        <w:t>, contados desde la fecha de firma del contrato. No obstante, excepcionalmente, 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 xml:space="preserve">La rendición se realizará de acuerdo a las normas establecidas en el Instructivo de Rendiciones de Sercotec, aprobado por Resolución N° 9856, de 23 de diciembre de 2019, salvo en aquello que haya sido modificado por las presentes bases.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w:t>
      </w:r>
      <w:r w:rsidRPr="008A7592">
        <w:rPr>
          <w:rFonts w:asciiTheme="majorHAnsi" w:eastAsia="gobCL" w:hAnsiTheme="majorHAnsi" w:cstheme="majorHAnsi"/>
        </w:rPr>
        <w:lastRenderedPageBreak/>
        <w:t>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Style w:val="af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E72DB" w:rsidRPr="008A7592">
        <w:trPr>
          <w:jc w:val="center"/>
        </w:trPr>
        <w:tc>
          <w:tcPr>
            <w:tcW w:w="8907" w:type="dxa"/>
            <w:shd w:val="clear" w:color="auto" w:fill="D9D9D9"/>
            <w:tcMar>
              <w:top w:w="57" w:type="dxa"/>
              <w:bottom w:w="57" w:type="dxa"/>
            </w:tcMar>
          </w:tcPr>
          <w:p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rsidR="001E72DB" w:rsidRPr="008A7592" w:rsidRDefault="006A5E87">
            <w:pPr>
              <w:jc w:val="both"/>
              <w:rPr>
                <w:rFonts w:asciiTheme="majorHAnsi" w:hAnsiTheme="majorHAnsi" w:cstheme="majorHAnsi"/>
                <w:sz w:val="22"/>
                <w:szCs w:val="22"/>
              </w:rPr>
            </w:pPr>
            <w:r w:rsidRPr="008A7592">
              <w:rPr>
                <w:rFonts w:asciiTheme="majorHAnsi" w:eastAsia="gobCL" w:hAnsiTheme="majorHAnsi" w:cstheme="majorHAnsi"/>
                <w:sz w:val="22"/>
                <w:szCs w:val="22"/>
              </w:rPr>
              <w:t>Sercotec podrá analizar la pertinencia de la continuidad de los proyectos y poner término a los mismos, en caso de que éstos, al término del primer mes, no hayan ejecutado y rendido el 60% del presupuesto asignado y no existan antecedentes que pudiesen justificar dicho atraso, lo que será calificado por escrito por el Director Regional, fundadamente.</w:t>
            </w:r>
          </w:p>
        </w:tc>
      </w:tr>
    </w:tbl>
    <w:p w:rsidR="001E72DB" w:rsidRPr="008A7592" w:rsidRDefault="006A5E87">
      <w:pPr>
        <w:tabs>
          <w:tab w:val="left" w:pos="709"/>
        </w:tabs>
        <w:spacing w:before="240" w:after="240"/>
        <w:jc w:val="both"/>
        <w:rPr>
          <w:rFonts w:asciiTheme="majorHAnsi" w:eastAsia="gobCL" w:hAnsiTheme="majorHAnsi" w:cstheme="majorHAnsi"/>
          <w:b/>
        </w:rPr>
      </w:pPr>
      <w:r w:rsidRPr="008A7592">
        <w:rPr>
          <w:rFonts w:asciiTheme="majorHAnsi" w:eastAsia="gobCL" w:hAnsiTheme="majorHAnsi" w:cstheme="majorHAnsi"/>
          <w:b/>
        </w:rPr>
        <w:t>7. Cierre del programa</w:t>
      </w:r>
    </w:p>
    <w:p w:rsidR="001E72DB" w:rsidRPr="008A7592" w:rsidRDefault="006A5E87">
      <w:pPr>
        <w:tabs>
          <w:tab w:val="left" w:pos="709"/>
        </w:tabs>
        <w:spacing w:before="240" w:after="240"/>
        <w:jc w:val="both"/>
        <w:rPr>
          <w:rFonts w:asciiTheme="majorHAnsi" w:eastAsia="gobCL" w:hAnsiTheme="majorHAnsi" w:cstheme="majorHAnsi"/>
        </w:rPr>
      </w:pPr>
      <w:r w:rsidRPr="008A7592">
        <w:rPr>
          <w:rFonts w:asciiTheme="majorHAnsi" w:eastAsia="gobCL" w:hAnsiTheme="majorHAnsi" w:cstheme="majorHAnsi"/>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8. Término Anticipado del Proyecto</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 podrá terminar anticipadamente el contrato suscrito entre el AOS y el beneficiario/a en los siguientes casos:</w:t>
      </w:r>
    </w:p>
    <w:p w:rsidR="001E72DB" w:rsidRPr="008A7592"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b/>
        </w:rPr>
        <w:t>Término anticipado del proyecto por causas no imputables al beneficiario/a:</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Se podrá terminar anticipadamente el contrato por causas no imputables al/la beneficiario/a, por ejemplo, fuerza mayor o caso fortuito, las cuales deberán ser calificadas debidamente por Sercotec.</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Por su parte, el AOS a cargo del proyecto deberá hacer entrega de un informe final de cierre, en un plazo no superior a 10 días hábiles, contados desde la firma de la resciliación. </w:t>
      </w:r>
    </w:p>
    <w:p w:rsidR="001E72DB" w:rsidRPr="008A7592" w:rsidRDefault="006A5E87">
      <w:pPr>
        <w:numPr>
          <w:ilvl w:val="0"/>
          <w:numId w:val="1"/>
        </w:numPr>
        <w:pBdr>
          <w:top w:val="nil"/>
          <w:left w:val="nil"/>
          <w:bottom w:val="nil"/>
          <w:right w:val="nil"/>
          <w:between w:val="nil"/>
        </w:pBdr>
        <w:spacing w:before="240" w:after="240" w:line="276" w:lineRule="auto"/>
        <w:jc w:val="both"/>
        <w:rPr>
          <w:rFonts w:asciiTheme="majorHAnsi" w:eastAsia="gobCL" w:hAnsiTheme="majorHAnsi" w:cstheme="majorHAnsi"/>
          <w:b/>
        </w:rPr>
      </w:pPr>
      <w:r w:rsidRPr="008A7592">
        <w:rPr>
          <w:rFonts w:asciiTheme="majorHAnsi" w:eastAsia="gobCL" w:hAnsiTheme="majorHAnsi" w:cstheme="majorHAnsi"/>
          <w:b/>
        </w:rPr>
        <w:t>Término anticipado del proyecto por hecho o acto imputable al beneficiario:</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Se podrá terminar anticipadamente el contrato por causas imputables al beneficiario/a, las cuales deberán ser calificadas debidamente por Sercotec.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lastRenderedPageBreak/>
        <w:t>Constituyen incumplimiento imputable al beneficiario las siguientes situaciones, entre otras:</w:t>
      </w:r>
    </w:p>
    <w:p w:rsidR="001E72DB" w:rsidRPr="008A7592" w:rsidRDefault="006A5E87">
      <w:pPr>
        <w:numPr>
          <w:ilvl w:val="0"/>
          <w:numId w:val="5"/>
        </w:numPr>
        <w:pBdr>
          <w:top w:val="nil"/>
          <w:left w:val="nil"/>
          <w:bottom w:val="nil"/>
          <w:right w:val="nil"/>
          <w:between w:val="nil"/>
        </w:pBdr>
        <w:spacing w:before="240"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Disconformidad grave entre la información técnica y/o legal entregada, y la efectiva;</w:t>
      </w:r>
    </w:p>
    <w:p w:rsidR="001E72DB" w:rsidRPr="008A7592"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Incumplimiento grave en la ejecución del Plan de Inversiones;</w:t>
      </w:r>
    </w:p>
    <w:p w:rsidR="001E72DB" w:rsidRPr="008A7592" w:rsidRDefault="006A5E87">
      <w:pPr>
        <w:numPr>
          <w:ilvl w:val="0"/>
          <w:numId w:val="5"/>
        </w:numPr>
        <w:pBdr>
          <w:top w:val="nil"/>
          <w:left w:val="nil"/>
          <w:bottom w:val="nil"/>
          <w:right w:val="nil"/>
          <w:between w:val="nil"/>
        </w:pBdr>
        <w:spacing w:after="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En caso que el beneficiario/a renuncie sin expresión de causa a continuar el proyecto;</w:t>
      </w:r>
    </w:p>
    <w:p w:rsidR="001E72DB" w:rsidRPr="008A7592" w:rsidRDefault="006A5E87">
      <w:pPr>
        <w:numPr>
          <w:ilvl w:val="0"/>
          <w:numId w:val="5"/>
        </w:numPr>
        <w:pBdr>
          <w:top w:val="nil"/>
          <w:left w:val="nil"/>
          <w:bottom w:val="nil"/>
          <w:right w:val="nil"/>
          <w:between w:val="nil"/>
        </w:pBdr>
        <w:spacing w:after="240" w:line="276" w:lineRule="auto"/>
        <w:ind w:left="714" w:hanging="357"/>
        <w:jc w:val="both"/>
        <w:rPr>
          <w:rFonts w:asciiTheme="majorHAnsi" w:eastAsia="gobCL" w:hAnsiTheme="majorHAnsi" w:cstheme="majorHAnsi"/>
        </w:rPr>
      </w:pPr>
      <w:r w:rsidRPr="008A7592">
        <w:rPr>
          <w:rFonts w:asciiTheme="majorHAnsi" w:eastAsia="gobCL" w:hAnsiTheme="majorHAnsi" w:cstheme="majorHAnsi"/>
        </w:rPr>
        <w:t xml:space="preserve">Otras causas imputables a la falta de diligencia del beneficiario/a en el desempeño de sus actividades relacionadas con el Plan de Inversión, calificadas debidamente por Sercotec.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8A7592">
        <w:rPr>
          <w:rFonts w:asciiTheme="majorHAnsi" w:eastAsia="gobCL" w:hAnsiTheme="majorHAnsi" w:cstheme="majorHAnsi"/>
        </w:rPr>
        <w:t>a</w:t>
      </w:r>
      <w:proofErr w:type="spellEnd"/>
      <w:r w:rsidRPr="008A7592">
        <w:rPr>
          <w:rFonts w:asciiTheme="majorHAnsi" w:eastAsia="gobCL" w:hAnsiTheme="majorHAnsi" w:cstheme="majorHAnsi"/>
        </w:rPr>
        <w:t xml:space="preserve"> señalado en el contrato, hecha por el AOS. </w:t>
      </w: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9. Otros</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rsidR="001E72DB" w:rsidRPr="008A7592" w:rsidRDefault="006A5E87">
      <w:pPr>
        <w:spacing w:after="0" w:line="276" w:lineRule="auto"/>
        <w:jc w:val="both"/>
        <w:rPr>
          <w:rFonts w:asciiTheme="majorHAnsi" w:eastAsia="gobCL" w:hAnsiTheme="majorHAnsi" w:cstheme="majorHAnsi"/>
        </w:rPr>
      </w:pPr>
      <w:r w:rsidRPr="008A7592">
        <w:rPr>
          <w:rFonts w:asciiTheme="majorHAnsi" w:eastAsia="gobCL" w:hAnsiTheme="majorHAnsi" w:cstheme="majorHAnsi"/>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w:t>
      </w:r>
      <w:r w:rsidRPr="008A7592">
        <w:rPr>
          <w:rFonts w:asciiTheme="majorHAnsi" w:eastAsia="gobCL" w:hAnsiTheme="majorHAnsi" w:cstheme="majorHAnsi"/>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1E72DB" w:rsidRPr="008A7592" w:rsidRDefault="006A5E87">
      <w:pPr>
        <w:spacing w:before="240" w:after="240"/>
        <w:jc w:val="both"/>
        <w:rPr>
          <w:rFonts w:asciiTheme="majorHAnsi" w:eastAsia="gobCL" w:hAnsiTheme="majorHAnsi" w:cstheme="majorHAnsi"/>
        </w:rPr>
      </w:pPr>
      <w:r w:rsidRPr="008A7592">
        <w:rPr>
          <w:rFonts w:asciiTheme="majorHAnsi" w:eastAsia="gobCL" w:hAnsiTheme="majorHAnsi" w:cstheme="majorHAnsi"/>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rsidR="001E72DB" w:rsidRPr="008A7592" w:rsidRDefault="001E72DB">
      <w:pPr>
        <w:rPr>
          <w:rFonts w:asciiTheme="majorHAnsi" w:eastAsia="gobCL" w:hAnsiTheme="majorHAnsi" w:cstheme="majorHAnsi"/>
        </w:rPr>
      </w:pPr>
    </w:p>
    <w:tbl>
      <w:tblPr>
        <w:tblStyle w:val="aff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E72DB" w:rsidRPr="008A7592">
        <w:trPr>
          <w:jc w:val="center"/>
        </w:trPr>
        <w:tc>
          <w:tcPr>
            <w:tcW w:w="8907" w:type="dxa"/>
            <w:shd w:val="clear" w:color="auto" w:fill="D9D9D9"/>
            <w:tcMar>
              <w:top w:w="57" w:type="dxa"/>
              <w:bottom w:w="57" w:type="dxa"/>
            </w:tcMar>
          </w:tcPr>
          <w:p w:rsidR="001E72DB" w:rsidRPr="008A7592" w:rsidRDefault="006A5E87">
            <w:pPr>
              <w:rPr>
                <w:rFonts w:asciiTheme="majorHAnsi" w:eastAsia="gobCL" w:hAnsiTheme="majorHAnsi" w:cstheme="majorHAnsi"/>
                <w:b/>
                <w:sz w:val="22"/>
                <w:szCs w:val="22"/>
              </w:rPr>
            </w:pPr>
            <w:r w:rsidRPr="008A7592">
              <w:rPr>
                <w:rFonts w:asciiTheme="majorHAnsi" w:eastAsia="gobCL" w:hAnsiTheme="majorHAnsi" w:cstheme="majorHAnsi"/>
                <w:b/>
                <w:sz w:val="22"/>
                <w:szCs w:val="22"/>
                <w:u w:val="single"/>
              </w:rPr>
              <w:t>IMPORTANTE</w:t>
            </w:r>
            <w:r w:rsidRPr="008A7592">
              <w:rPr>
                <w:rFonts w:asciiTheme="majorHAnsi" w:eastAsia="gobCL" w:hAnsiTheme="majorHAnsi" w:cstheme="majorHAnsi"/>
                <w:b/>
                <w:sz w:val="22"/>
                <w:szCs w:val="22"/>
              </w:rPr>
              <w:t>:</w:t>
            </w: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1E72DB" w:rsidRPr="008A7592" w:rsidRDefault="001E72DB">
      <w:pPr>
        <w:jc w:val="center"/>
        <w:rPr>
          <w:rFonts w:asciiTheme="majorHAnsi" w:eastAsia="gobCL" w:hAnsiTheme="majorHAnsi" w:cstheme="majorHAnsi"/>
          <w:b/>
        </w:rPr>
      </w:pPr>
    </w:p>
    <w:p w:rsidR="001E72DB" w:rsidRPr="008A7592" w:rsidRDefault="006A5E87">
      <w:pPr>
        <w:rPr>
          <w:rFonts w:asciiTheme="majorHAnsi" w:eastAsia="gobCL" w:hAnsiTheme="majorHAnsi" w:cstheme="majorHAnsi"/>
          <w:b/>
        </w:rPr>
      </w:pPr>
      <w:r w:rsidRPr="008A7592">
        <w:rPr>
          <w:rFonts w:asciiTheme="majorHAnsi" w:hAnsiTheme="majorHAnsi" w:cstheme="majorHAnsi"/>
        </w:rPr>
        <w:br w:type="page"/>
      </w:r>
    </w:p>
    <w:p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lastRenderedPageBreak/>
        <w:t>ANEXO N°1</w:t>
      </w:r>
    </w:p>
    <w:p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t xml:space="preserve">MEDIOS DE VERIFICACIÓN DEL CUMPLIMIENTO DE LOS REQUISITOS DE ADMISIBILIDAD </w:t>
      </w:r>
    </w:p>
    <w:p w:rsidR="001E72DB" w:rsidRPr="008A7592" w:rsidRDefault="006A5E87">
      <w:pPr>
        <w:jc w:val="both"/>
        <w:rPr>
          <w:rFonts w:asciiTheme="majorHAnsi" w:eastAsia="gobCL" w:hAnsiTheme="majorHAnsi" w:cstheme="majorHAnsi"/>
          <w:b/>
        </w:rPr>
      </w:pPr>
      <w:r w:rsidRPr="008A7592">
        <w:rPr>
          <w:rFonts w:asciiTheme="majorHAnsi" w:eastAsia="gobCL" w:hAnsiTheme="majorHAnsi" w:cstheme="majorHAnsi"/>
          <w:b/>
        </w:rPr>
        <w:t>Admisibilidad automática</w:t>
      </w:r>
    </w:p>
    <w:tbl>
      <w:tblPr>
        <w:tblStyle w:val="a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tc>
          <w:tcPr>
            <w:tcW w:w="4531" w:type="dxa"/>
            <w:shd w:val="clear" w:color="auto" w:fill="D9D9D9"/>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Requisito</w:t>
            </w:r>
          </w:p>
        </w:tc>
        <w:tc>
          <w:tcPr>
            <w:tcW w:w="4297" w:type="dxa"/>
            <w:shd w:val="clear" w:color="auto" w:fill="D9D9D9"/>
          </w:tcPr>
          <w:p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1E72DB" w:rsidRPr="008A7592">
        <w:tc>
          <w:tcPr>
            <w:tcW w:w="4531"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Ser persona natural y/o jurídica con iniciación de actividades en primera categoría ante el Servicio de Impuestos Internos (SII) </w:t>
            </w:r>
            <w:r w:rsidRPr="008A7592">
              <w:rPr>
                <w:rFonts w:asciiTheme="majorHAnsi" w:eastAsia="gobCL" w:hAnsiTheme="majorHAnsi" w:cstheme="majorHAnsi"/>
                <w:b/>
                <w:sz w:val="22"/>
                <w:szCs w:val="22"/>
              </w:rPr>
              <w:t xml:space="preserve">hasta el 31 de </w:t>
            </w:r>
            <w:proofErr w:type="gramStart"/>
            <w:r w:rsidRPr="008A7592">
              <w:rPr>
                <w:rFonts w:asciiTheme="majorHAnsi" w:eastAsia="gobCL" w:hAnsiTheme="majorHAnsi" w:cstheme="majorHAnsi"/>
                <w:b/>
                <w:sz w:val="22"/>
                <w:szCs w:val="22"/>
              </w:rPr>
              <w:t>Enero</w:t>
            </w:r>
            <w:proofErr w:type="gramEnd"/>
            <w:r w:rsidRPr="008A7592">
              <w:rPr>
                <w:rFonts w:asciiTheme="majorHAnsi" w:eastAsia="gobCL" w:hAnsiTheme="majorHAnsi" w:cstheme="majorHAnsi"/>
                <w:b/>
                <w:sz w:val="22"/>
                <w:szCs w:val="22"/>
              </w:rPr>
              <w:t xml:space="preserve"> de 2020 y estar vigente a la fecha de inicio de la convocatoria.</w:t>
            </w:r>
            <w:r w:rsidRPr="008A7592">
              <w:rPr>
                <w:rFonts w:asciiTheme="majorHAnsi" w:eastAsia="gobCL" w:hAnsiTheme="majorHAnsi" w:cstheme="majorHAnsi"/>
                <w:sz w:val="22"/>
                <w:szCs w:val="22"/>
              </w:rPr>
              <w:t xml:space="preserve"> </w:t>
            </w:r>
          </w:p>
          <w:p w:rsidR="001E72DB" w:rsidRPr="008A7592" w:rsidRDefault="001E72DB">
            <w:pPr>
              <w:jc w:val="both"/>
              <w:rPr>
                <w:rFonts w:asciiTheme="majorHAnsi" w:eastAsia="gobCL" w:hAnsiTheme="majorHAnsi" w:cstheme="majorHAnsi"/>
                <w:sz w:val="22"/>
                <w:szCs w:val="22"/>
              </w:rPr>
            </w:pPr>
          </w:p>
        </w:tc>
        <w:tc>
          <w:tcPr>
            <w:tcW w:w="4297"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con información provista en línea por el Servicio de Impuestos Internos (se validará el requisito para el RUT de la empresa postulante).</w:t>
            </w:r>
            <w:r w:rsidRPr="008A7592">
              <w:rPr>
                <w:rFonts w:asciiTheme="majorHAnsi" w:eastAsia="gobCL" w:hAnsiTheme="majorHAnsi" w:cstheme="majorHAnsi"/>
                <w:sz w:val="22"/>
                <w:szCs w:val="22"/>
                <w:highlight w:val="white"/>
              </w:rPr>
              <w:t xml:space="preserve"> </w:t>
            </w:r>
          </w:p>
        </w:tc>
      </w:tr>
      <w:tr w:rsidR="001E72DB" w:rsidRPr="008A7592">
        <w:tc>
          <w:tcPr>
            <w:tcW w:w="4531"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haber incumplido las obligaciones contractuales de un proyecto de Sercotec con el AOS (término anticipado de contrato por hecho o acto imputable al beneficiario/a), a la fecha de inicio de la convocatoria.</w:t>
            </w:r>
          </w:p>
        </w:tc>
        <w:tc>
          <w:tcPr>
            <w:tcW w:w="4297"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r w:rsidR="001E72DB" w:rsidRPr="008A7592">
        <w:tc>
          <w:tcPr>
            <w:tcW w:w="4531"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provista por la Dirección del Trabajo (se validará el requisito para el RUT de la empresa postulante).</w:t>
            </w:r>
          </w:p>
        </w:tc>
      </w:tr>
      <w:tr w:rsidR="001E72DB" w:rsidRPr="008A7592">
        <w:tc>
          <w:tcPr>
            <w:tcW w:w="4531"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rendiciones pendientes con Sercotec, a la fecha de inicio de la convocatoria.</w:t>
            </w:r>
          </w:p>
        </w:tc>
        <w:tc>
          <w:tcPr>
            <w:tcW w:w="4297"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con información provista por la Gerencia de Administración y Finanzas de Sercotec (se validará el requisito para el RUT de la empresa postulante).</w:t>
            </w:r>
          </w:p>
        </w:tc>
      </w:tr>
      <w:tr w:rsidR="001E72DB" w:rsidRPr="008A7592">
        <w:tc>
          <w:tcPr>
            <w:tcW w:w="4531"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Tener domicilio comercial en la región de la presente convocatoria.</w:t>
            </w:r>
          </w:p>
        </w:tc>
        <w:tc>
          <w:tcPr>
            <w:tcW w:w="4297" w:type="dxa"/>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w:t>
            </w:r>
          </w:p>
        </w:tc>
      </w:tr>
      <w:tr w:rsidR="00D8281D" w:rsidRPr="008A7592">
        <w:tc>
          <w:tcPr>
            <w:tcW w:w="4531" w:type="dxa"/>
          </w:tcPr>
          <w:p w:rsidR="00D8281D" w:rsidRPr="008A7592" w:rsidRDefault="00D8281D" w:rsidP="00D8281D">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No haber sido beneficiario de la convocatoria Reactívate con Sercotec 2020, CRECE 2019 en cualquiera de sus versiones, Digitaliza tu Almacén 2020, ni en programas FNDR 2020. Sercotec validará nuevamente esta condición al momento de formalizar. </w:t>
            </w:r>
          </w:p>
        </w:tc>
        <w:tc>
          <w:tcPr>
            <w:tcW w:w="4297" w:type="dxa"/>
          </w:tcPr>
          <w:p w:rsidR="00D8281D" w:rsidRPr="008A7592" w:rsidRDefault="00D8281D">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automáticamente a través de la plataforma de postulación para el RUT de la empresa postulante.</w:t>
            </w:r>
          </w:p>
        </w:tc>
      </w:tr>
    </w:tbl>
    <w:p w:rsidR="001E72DB" w:rsidRPr="008A7592" w:rsidRDefault="001E72DB">
      <w:pPr>
        <w:spacing w:before="240" w:after="240"/>
        <w:jc w:val="both"/>
        <w:rPr>
          <w:rFonts w:asciiTheme="majorHAnsi" w:eastAsia="gobCL" w:hAnsiTheme="majorHAnsi" w:cstheme="majorHAnsi"/>
          <w:b/>
        </w:rPr>
      </w:pPr>
    </w:p>
    <w:p w:rsidR="001E72DB" w:rsidRPr="008A7592" w:rsidRDefault="006A5E87">
      <w:pPr>
        <w:spacing w:before="240" w:after="240"/>
        <w:jc w:val="both"/>
        <w:rPr>
          <w:rFonts w:asciiTheme="majorHAnsi" w:eastAsia="gobCL" w:hAnsiTheme="majorHAnsi" w:cstheme="majorHAnsi"/>
          <w:b/>
        </w:rPr>
      </w:pPr>
      <w:r w:rsidRPr="008A7592">
        <w:rPr>
          <w:rFonts w:asciiTheme="majorHAnsi" w:eastAsia="gobCL" w:hAnsiTheme="majorHAnsi" w:cstheme="majorHAnsi"/>
          <w:b/>
        </w:rPr>
        <w:t>Admisibilidad manual</w:t>
      </w:r>
    </w:p>
    <w:tbl>
      <w:tblPr>
        <w:tblStyle w:val="af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Contar con ventas netas anuales demostrables mayores a 0 e inferiores o iguales a 25.000 UF. </w:t>
            </w:r>
          </w:p>
          <w:p w:rsidR="001E72DB" w:rsidRPr="008A7592" w:rsidRDefault="001E72DB">
            <w:pPr>
              <w:jc w:val="both"/>
              <w:rPr>
                <w:rFonts w:asciiTheme="majorHAnsi" w:eastAsia="gobCL" w:hAnsiTheme="majorHAnsi" w:cstheme="majorHAnsi"/>
                <w:sz w:val="22"/>
                <w:szCs w:val="22"/>
              </w:rPr>
            </w:pP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el cálculo del nivel de las ventas netas se utilizará el valor de la UF correspondiente a la </w:t>
            </w:r>
            <w:r w:rsidRPr="008A7592">
              <w:rPr>
                <w:rFonts w:asciiTheme="majorHAnsi" w:eastAsia="gobCL" w:hAnsiTheme="majorHAnsi" w:cstheme="majorHAnsi"/>
                <w:sz w:val="22"/>
                <w:szCs w:val="22"/>
              </w:rPr>
              <w:lastRenderedPageBreak/>
              <w:t>fecha de inicio de la presente convocatoria y se utilizará el siguiente período:</w:t>
            </w:r>
          </w:p>
          <w:p w:rsidR="001E72DB" w:rsidRPr="008A7592" w:rsidRDefault="001E72DB">
            <w:pPr>
              <w:jc w:val="both"/>
              <w:rPr>
                <w:rFonts w:asciiTheme="majorHAnsi" w:eastAsia="gobCL" w:hAnsiTheme="majorHAnsi" w:cstheme="majorHAnsi"/>
                <w:sz w:val="22"/>
                <w:szCs w:val="22"/>
              </w:rPr>
            </w:pPr>
          </w:p>
          <w:tbl>
            <w:tblPr>
              <w:tblStyle w:val="affff3"/>
              <w:tblW w:w="4323" w:type="dxa"/>
              <w:tblInd w:w="0" w:type="dxa"/>
              <w:tblLayout w:type="fixed"/>
              <w:tblLook w:val="0400" w:firstRow="0" w:lastRow="0" w:firstColumn="0" w:lastColumn="0" w:noHBand="0" w:noVBand="1"/>
            </w:tblPr>
            <w:tblGrid>
              <w:gridCol w:w="1932"/>
              <w:gridCol w:w="2391"/>
            </w:tblGrid>
            <w:tr w:rsidR="001E72DB" w:rsidRPr="008A7592">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Período de cálculo de ventas</w:t>
                  </w:r>
                </w:p>
              </w:tc>
            </w:tr>
            <w:tr w:rsidR="001E72DB" w:rsidRPr="008A7592">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Septiembre 2020</w:t>
                  </w:r>
                </w:p>
              </w:tc>
              <w:tc>
                <w:tcPr>
                  <w:tcW w:w="2391" w:type="dxa"/>
                  <w:tcBorders>
                    <w:top w:val="nil"/>
                    <w:left w:val="nil"/>
                    <w:bottom w:val="single" w:sz="4" w:space="0" w:color="000000"/>
                    <w:right w:val="single" w:sz="4" w:space="0" w:color="000000"/>
                  </w:tcBorders>
                  <w:shd w:val="clear" w:color="auto" w:fill="auto"/>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Julio 2019 -  Junio 2020</w:t>
                  </w:r>
                </w:p>
              </w:tc>
            </w:tr>
          </w:tbl>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el cálculo de ventas se consideran los códigos 538, 020 y 142 de los respectivos Formularios N°29. </w:t>
            </w:r>
          </w:p>
          <w:p w:rsidR="001E72DB" w:rsidRPr="008A7592" w:rsidRDefault="001E72DB">
            <w:pPr>
              <w:jc w:val="both"/>
              <w:rPr>
                <w:rFonts w:asciiTheme="majorHAnsi" w:eastAsia="gobCL" w:hAnsiTheme="majorHAnsi" w:cstheme="majorHAnsi"/>
                <w:sz w:val="22"/>
                <w:szCs w:val="22"/>
              </w:rPr>
            </w:pPr>
          </w:p>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Para el caso de las empresas con iniciación de actividades posterior a junio de 2019, el cálculo de ventas se hará a partir del mes de inicio de actividades hasta el mes de junio de 2020, las que deberán ser inferiores o iguales a 25.000 UF</w:t>
            </w:r>
            <w:r w:rsidRPr="008A7592">
              <w:rPr>
                <w:rFonts w:asciiTheme="majorHAnsi" w:eastAsia="gobCL" w:hAnsiTheme="majorHAnsi" w:cstheme="majorHAnsi"/>
                <w:color w:val="FF0000"/>
                <w:sz w:val="22"/>
                <w:szCs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pBdr>
                <w:top w:val="nil"/>
                <w:left w:val="nil"/>
                <w:bottom w:val="nil"/>
                <w:right w:val="nil"/>
                <w:between w:val="nil"/>
              </w:pBd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lastRenderedPageBreak/>
              <w:t xml:space="preserve">Carpeta Tributaria Electrónica completa para Solicitar Créditos disponible en </w:t>
            </w:r>
            <w:hyperlink r:id="rId12">
              <w:r w:rsidRPr="008A7592">
                <w:rPr>
                  <w:rFonts w:asciiTheme="majorHAnsi" w:eastAsia="gobCL" w:hAnsiTheme="majorHAnsi" w:cstheme="majorHAnsi"/>
                  <w:sz w:val="22"/>
                  <w:szCs w:val="22"/>
                  <w:u w:val="single"/>
                </w:rPr>
                <w:t>https://zeus.sii.cl/dii_doc/carpeta-tributaria/html/index.htm</w:t>
              </w:r>
            </w:hyperlink>
            <w:r w:rsidRPr="008A7592">
              <w:rPr>
                <w:rFonts w:asciiTheme="majorHAnsi" w:eastAsia="gobCL" w:hAnsiTheme="majorHAnsi" w:cstheme="majorHAnsi"/>
                <w:sz w:val="22"/>
                <w:szCs w:val="22"/>
              </w:rPr>
              <w:t xml:space="preserve">  </w:t>
            </w:r>
          </w:p>
          <w:p w:rsidR="001E72DB" w:rsidRPr="008A7592" w:rsidRDefault="001E72DB">
            <w:pPr>
              <w:jc w:val="both"/>
              <w:rPr>
                <w:rFonts w:asciiTheme="majorHAnsi" w:eastAsia="gobCL" w:hAnsiTheme="majorHAnsi" w:cstheme="majorHAnsi"/>
                <w:sz w:val="22"/>
                <w:szCs w:val="22"/>
              </w:rPr>
            </w:pP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Tener disminución de ventas en el período señalado:</w:t>
            </w:r>
            <w:r w:rsidRPr="008A7592">
              <w:rPr>
                <w:rFonts w:asciiTheme="majorHAnsi" w:eastAsia="gobCL" w:hAnsiTheme="majorHAnsi" w:cstheme="majorHAnsi"/>
                <w:sz w:val="22"/>
                <w:szCs w:val="22"/>
              </w:rPr>
              <w:t xml:space="preserve"> </w:t>
            </w:r>
          </w:p>
          <w:p w:rsidR="001E72DB" w:rsidRPr="008A7592"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Para empresas con inicio de actividades anteriores a febrero 2019, el porcentaje de disminución de ventas se calculará comparando las ventas promedio del período 1 (febrero 2019 – julio 2019) con las ventas promedio del período 2 (febrero 2020 – julio 2020).</w:t>
            </w:r>
          </w:p>
          <w:p w:rsidR="001E72DB" w:rsidRPr="008A7592" w:rsidRDefault="006A5E87">
            <w:pPr>
              <w:pBdr>
                <w:top w:val="nil"/>
                <w:left w:val="nil"/>
                <w:bottom w:val="nil"/>
                <w:right w:val="nil"/>
                <w:between w:val="nil"/>
              </w:pBdr>
              <w:spacing w:line="276" w:lineRule="auto"/>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Para empresas con inicio de actividades a partir de </w:t>
            </w:r>
            <w:proofErr w:type="spellStart"/>
            <w:r w:rsidRPr="008A7592">
              <w:rPr>
                <w:rFonts w:asciiTheme="majorHAnsi" w:eastAsia="gobCL" w:hAnsiTheme="majorHAnsi" w:cstheme="majorHAnsi"/>
                <w:sz w:val="22"/>
                <w:szCs w:val="22"/>
              </w:rPr>
              <w:t>fenrero</w:t>
            </w:r>
            <w:proofErr w:type="spellEnd"/>
            <w:r w:rsidRPr="008A7592">
              <w:rPr>
                <w:rFonts w:asciiTheme="majorHAnsi" w:eastAsia="gobCL" w:hAnsiTheme="majorHAnsi" w:cstheme="majorHAnsi"/>
                <w:sz w:val="22"/>
                <w:szCs w:val="22"/>
              </w:rPr>
              <w:t xml:space="preserve"> 2019, el porcentaje de disminución de ventas se calculará comparando las ventas promedio del período 1 (febrero 2020– abril 2020), con las ventas promedio del período 2 (mayo 2020 - julio de 2020). </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keepNext/>
              <w:keepLines/>
              <w:pBdr>
                <w:top w:val="nil"/>
                <w:left w:val="nil"/>
                <w:bottom w:val="nil"/>
                <w:right w:val="nil"/>
                <w:between w:val="nil"/>
              </w:pBdr>
              <w:spacing w:before="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Carpeta Tributaria Electrónica completa para Solicitar Créditos disponible en </w:t>
            </w:r>
            <w:hyperlink r:id="rId13">
              <w:r w:rsidRPr="008A7592">
                <w:rPr>
                  <w:rFonts w:asciiTheme="majorHAnsi" w:eastAsia="gobCL" w:hAnsiTheme="majorHAnsi" w:cstheme="majorHAnsi"/>
                  <w:sz w:val="22"/>
                  <w:szCs w:val="22"/>
                  <w:u w:val="single"/>
                </w:rPr>
                <w:t>https://zeus.sii.cl/dii_doc/carpeta-tributaria/html/index.htm</w:t>
              </w:r>
            </w:hyperlink>
            <w:r w:rsidRPr="008A7592">
              <w:rPr>
                <w:rFonts w:asciiTheme="majorHAnsi" w:eastAsia="gobCL" w:hAnsiTheme="majorHAnsi" w:cstheme="majorHAnsi"/>
                <w:sz w:val="22"/>
                <w:szCs w:val="22"/>
              </w:rPr>
              <w:t xml:space="preserve">  </w:t>
            </w:r>
          </w:p>
        </w:tc>
      </w:tr>
    </w:tbl>
    <w:p w:rsidR="001E72DB" w:rsidRPr="008A7592" w:rsidRDefault="001E72DB">
      <w:pPr>
        <w:rPr>
          <w:rFonts w:asciiTheme="majorHAnsi" w:eastAsia="gobCL" w:hAnsiTheme="majorHAnsi" w:cstheme="majorHAnsi"/>
          <w:b/>
        </w:rPr>
      </w:pPr>
    </w:p>
    <w:p w:rsidR="001E72DB" w:rsidRPr="008A7592" w:rsidRDefault="006A5E87">
      <w:pPr>
        <w:rPr>
          <w:rFonts w:asciiTheme="majorHAnsi" w:eastAsia="gobCL" w:hAnsiTheme="majorHAnsi" w:cstheme="majorHAnsi"/>
          <w:b/>
        </w:rPr>
      </w:pPr>
      <w:r w:rsidRPr="008A7592">
        <w:rPr>
          <w:rFonts w:asciiTheme="majorHAnsi" w:eastAsia="gobCL" w:hAnsiTheme="majorHAnsi" w:cstheme="majorHAnsi"/>
          <w:b/>
        </w:rPr>
        <w:t>MEDIOS DE VERIFICACIÓN DEL CUMPLIMIENTO DE LOS REQUISITOS DE FORMALIZACIÓN</w:t>
      </w:r>
    </w:p>
    <w:tbl>
      <w:tblPr>
        <w:tblStyle w:val="af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E72DB" w:rsidRPr="008A7592">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1E72DB" w:rsidRPr="008A7592" w:rsidRDefault="006A5E87">
            <w:pPr>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1E72DB" w:rsidRPr="008A7592" w:rsidRDefault="006A5E87">
            <w:pPr>
              <w:pBdr>
                <w:top w:val="nil"/>
                <w:left w:val="nil"/>
                <w:bottom w:val="nil"/>
                <w:right w:val="nil"/>
                <w:between w:val="nil"/>
              </w:pBdr>
              <w:ind w:hanging="720"/>
              <w:jc w:val="center"/>
              <w:rPr>
                <w:rFonts w:asciiTheme="majorHAnsi" w:eastAsia="gobCL" w:hAnsiTheme="majorHAnsi" w:cstheme="majorHAnsi"/>
                <w:b/>
                <w:sz w:val="22"/>
                <w:szCs w:val="22"/>
              </w:rPr>
            </w:pPr>
            <w:r w:rsidRPr="008A7592">
              <w:rPr>
                <w:rFonts w:asciiTheme="majorHAnsi" w:eastAsia="gobCL" w:hAnsiTheme="majorHAnsi" w:cstheme="majorHAnsi"/>
                <w:b/>
                <w:sz w:val="22"/>
                <w:szCs w:val="22"/>
              </w:rPr>
              <w:t>Medio de verificación</w:t>
            </w:r>
          </w:p>
        </w:tc>
      </w:tr>
      <w:tr w:rsidR="001E72DB" w:rsidRPr="008A7592">
        <w:trPr>
          <w:trHeight w:val="1975"/>
        </w:trPr>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Este requisito podrá ser validado a través de la Carpeta Tributaria Electrónica adjuntada en el formulario de postulación u otro medio autorizado por Sercotec. </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El empresario/a seleccionado, en conjunto con el AOS, deberá ajustar su Plan de Inversión (cuadro presupuestario y programación de gastos), documento que deberá ser presentado y validado por el ejecutivo/a de fomento, previo a la firma </w:t>
            </w:r>
            <w:r w:rsidRPr="008A7592">
              <w:rPr>
                <w:rFonts w:asciiTheme="majorHAnsi" w:eastAsia="gobCL" w:hAnsiTheme="majorHAnsi" w:cstheme="majorHAnsi"/>
                <w:sz w:val="22"/>
                <w:szCs w:val="22"/>
              </w:rPr>
              <w:lastRenderedPageBreak/>
              <w:t xml:space="preserve">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lastRenderedPageBreak/>
              <w:t xml:space="preserve">Plan de Inversión elaborado en conjunto con el AOS, y validado por el ejecutivo de fomento. </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Este requisito será validado a través de Certificado de Antecedentes Laborales y Previsionales (F30) disponible en </w:t>
            </w:r>
            <w:hyperlink r:id="rId14">
              <w:r w:rsidRPr="008A7592">
                <w:rPr>
                  <w:rFonts w:asciiTheme="majorHAnsi" w:eastAsia="gobCL" w:hAnsiTheme="majorHAnsi" w:cstheme="majorHAnsi"/>
                  <w:sz w:val="22"/>
                  <w:szCs w:val="22"/>
                  <w:u w:val="single"/>
                </w:rPr>
                <w:t>https://www.dt.gob.cl/portal/1626/w3-article-100359.html</w:t>
              </w:r>
            </w:hyperlink>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Declaración Jurada simple de probidad, según formato de Anexo N°4.</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Declaración de no consanguinidad en el reembolso o compra de los gastos según formato Anexo N° 3. </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b/>
                <w:sz w:val="22"/>
                <w:szCs w:val="22"/>
                <w:u w:val="single"/>
              </w:rPr>
            </w:pPr>
            <w:r w:rsidRPr="008A7592">
              <w:rPr>
                <w:rFonts w:asciiTheme="majorHAnsi" w:eastAsia="gobCL" w:hAnsiTheme="majorHAnsi" w:cstheme="majorHAnsi"/>
                <w:sz w:val="22"/>
                <w:szCs w:val="22"/>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r w:rsidR="001E72DB" w:rsidRPr="008A7592">
        <w:tc>
          <w:tcPr>
            <w:tcW w:w="4531"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g)</w:t>
            </w:r>
            <w:r w:rsidRPr="008A7592">
              <w:rPr>
                <w:rFonts w:asciiTheme="majorHAnsi" w:eastAsia="gobCL" w:hAnsiTheme="majorHAnsi" w:cstheme="majorHAnsi"/>
                <w:sz w:val="22"/>
                <w:szCs w:val="22"/>
              </w:rPr>
              <w:tab/>
              <w:t>No haber sido beneficiario de la convocatoria Reactívate con Sercotec 2020, CRECE 2019 en cualquiera de sus versiones, Digitaliza tu Almacén 2020, ni en programas FNDR 2020.</w:t>
            </w:r>
          </w:p>
        </w:tc>
        <w:tc>
          <w:tcPr>
            <w:tcW w:w="4297" w:type="dxa"/>
            <w:tcBorders>
              <w:top w:val="single" w:sz="4" w:space="0" w:color="000000"/>
              <w:left w:val="single" w:sz="4" w:space="0" w:color="000000"/>
              <w:bottom w:val="single" w:sz="4" w:space="0" w:color="000000"/>
              <w:right w:val="single" w:sz="4" w:space="0" w:color="000000"/>
            </w:tcBorders>
          </w:tcPr>
          <w:p w:rsidR="001E72DB" w:rsidRPr="008A7592" w:rsidRDefault="006A5E87">
            <w:pPr>
              <w:ind w:left="25"/>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Requisito validado por Sercotec para el RUT de la empresa postulante.</w:t>
            </w:r>
          </w:p>
        </w:tc>
      </w:tr>
    </w:tbl>
    <w:p w:rsidR="001E72DB" w:rsidRPr="008A7592" w:rsidRDefault="001E72DB">
      <w:pPr>
        <w:tabs>
          <w:tab w:val="left" w:pos="1747"/>
        </w:tabs>
        <w:jc w:val="center"/>
        <w:rPr>
          <w:rFonts w:asciiTheme="majorHAnsi" w:eastAsia="gobCL" w:hAnsiTheme="majorHAnsi" w:cstheme="majorHAnsi"/>
          <w:b/>
        </w:rPr>
      </w:pPr>
    </w:p>
    <w:p w:rsidR="001E72DB" w:rsidRPr="008A7592" w:rsidRDefault="006A5E87">
      <w:pPr>
        <w:jc w:val="center"/>
        <w:rPr>
          <w:rFonts w:asciiTheme="majorHAnsi" w:eastAsia="gobCL" w:hAnsiTheme="majorHAnsi" w:cstheme="majorHAnsi"/>
          <w:b/>
        </w:rPr>
      </w:pPr>
      <w:r w:rsidRPr="008A7592">
        <w:rPr>
          <w:rFonts w:asciiTheme="majorHAnsi" w:hAnsiTheme="majorHAnsi" w:cstheme="majorHAnsi"/>
        </w:rPr>
        <w:br w:type="page"/>
      </w:r>
      <w:r w:rsidRPr="008A7592">
        <w:rPr>
          <w:rFonts w:asciiTheme="majorHAnsi" w:eastAsia="gobCL" w:hAnsiTheme="majorHAnsi" w:cstheme="majorHAnsi"/>
          <w:b/>
        </w:rPr>
        <w:lastRenderedPageBreak/>
        <w:t>ANEXO N°2</w:t>
      </w:r>
    </w:p>
    <w:p w:rsidR="001E72DB" w:rsidRPr="008A7592" w:rsidRDefault="006A5E87">
      <w:pPr>
        <w:tabs>
          <w:tab w:val="left" w:pos="1747"/>
        </w:tabs>
        <w:jc w:val="center"/>
        <w:rPr>
          <w:rFonts w:asciiTheme="majorHAnsi" w:eastAsia="gobCL" w:hAnsiTheme="majorHAnsi" w:cstheme="majorHAnsi"/>
          <w:b/>
        </w:rPr>
      </w:pPr>
      <w:r w:rsidRPr="008A7592">
        <w:rPr>
          <w:rFonts w:asciiTheme="majorHAnsi" w:eastAsia="gobCL" w:hAnsiTheme="majorHAnsi" w:cstheme="majorHAnsi"/>
          <w:b/>
        </w:rPr>
        <w:t>PLAN DE INVERSIÓN</w:t>
      </w:r>
    </w:p>
    <w:p w:rsidR="001E72DB" w:rsidRPr="008A7592" w:rsidRDefault="001E72DB">
      <w:pPr>
        <w:tabs>
          <w:tab w:val="left" w:pos="1747"/>
        </w:tabs>
        <w:jc w:val="center"/>
        <w:rPr>
          <w:rFonts w:asciiTheme="majorHAnsi" w:eastAsia="gobCL" w:hAnsiTheme="majorHAnsi" w:cstheme="majorHAnsi"/>
          <w:b/>
        </w:rPr>
      </w:pPr>
    </w:p>
    <w:p w:rsidR="001E72DB" w:rsidRPr="008A7592" w:rsidRDefault="006A5E87">
      <w:pPr>
        <w:tabs>
          <w:tab w:val="left" w:pos="1747"/>
        </w:tabs>
        <w:rPr>
          <w:rFonts w:asciiTheme="majorHAnsi" w:eastAsia="gobCL" w:hAnsiTheme="majorHAnsi" w:cstheme="majorHAnsi"/>
          <w:b/>
        </w:rPr>
      </w:pPr>
      <w:r w:rsidRPr="008A7592">
        <w:rPr>
          <w:rFonts w:asciiTheme="majorHAnsi" w:eastAsia="gobCL" w:hAnsiTheme="majorHAnsi" w:cstheme="majorHAnsi"/>
          <w:b/>
        </w:rPr>
        <w:t>Nombre Beneficiario/a:</w:t>
      </w:r>
    </w:p>
    <w:p w:rsidR="001E72DB" w:rsidRPr="008A7592" w:rsidRDefault="006A5E87">
      <w:pPr>
        <w:tabs>
          <w:tab w:val="left" w:pos="1747"/>
        </w:tabs>
        <w:rPr>
          <w:rFonts w:asciiTheme="majorHAnsi" w:eastAsia="gobCL" w:hAnsiTheme="majorHAnsi" w:cstheme="majorHAnsi"/>
          <w:b/>
        </w:rPr>
      </w:pPr>
      <w:r w:rsidRPr="008A7592">
        <w:rPr>
          <w:rFonts w:asciiTheme="majorHAnsi" w:eastAsia="gobCL" w:hAnsiTheme="majorHAnsi" w:cstheme="majorHAnsi"/>
          <w:b/>
        </w:rPr>
        <w:t>Rut Beneficiario/a:</w:t>
      </w:r>
    </w:p>
    <w:p w:rsidR="001E72DB" w:rsidRPr="008A7592" w:rsidRDefault="006A5E87">
      <w:pPr>
        <w:tabs>
          <w:tab w:val="left" w:pos="1747"/>
        </w:tabs>
        <w:rPr>
          <w:rFonts w:asciiTheme="majorHAnsi" w:eastAsia="gobCL" w:hAnsiTheme="majorHAnsi" w:cstheme="majorHAnsi"/>
          <w:b/>
        </w:rPr>
      </w:pPr>
      <w:r w:rsidRPr="008A7592">
        <w:rPr>
          <w:rFonts w:asciiTheme="majorHAnsi" w:eastAsia="gobCL" w:hAnsiTheme="majorHAnsi" w:cstheme="majorHAnsi"/>
          <w:b/>
        </w:rPr>
        <w:t>Objetivo General:</w:t>
      </w:r>
    </w:p>
    <w:tbl>
      <w:tblPr>
        <w:tblStyle w:val="affff5"/>
        <w:tblW w:w="9533" w:type="dxa"/>
        <w:tblInd w:w="-5" w:type="dxa"/>
        <w:tblLayout w:type="fixed"/>
        <w:tblLook w:val="0400" w:firstRow="0" w:lastRow="0" w:firstColumn="0" w:lastColumn="0" w:noHBand="0" w:noVBand="1"/>
      </w:tblPr>
      <w:tblGrid>
        <w:gridCol w:w="1230"/>
        <w:gridCol w:w="4980"/>
        <w:gridCol w:w="1156"/>
        <w:gridCol w:w="1011"/>
        <w:gridCol w:w="1156"/>
      </w:tblGrid>
      <w:tr w:rsidR="001E72DB" w:rsidRPr="008A7592">
        <w:trPr>
          <w:trHeight w:val="849"/>
        </w:trPr>
        <w:tc>
          <w:tcPr>
            <w:tcW w:w="62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ÍTEMS DE GASTOS</w:t>
            </w:r>
          </w:p>
        </w:tc>
        <w:tc>
          <w:tcPr>
            <w:tcW w:w="1156"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DETALLE</w:t>
            </w:r>
          </w:p>
        </w:tc>
        <w:tc>
          <w:tcPr>
            <w:tcW w:w="1011"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VALOR EN $ (sin impuesto)</w:t>
            </w:r>
          </w:p>
        </w:tc>
        <w:tc>
          <w:tcPr>
            <w:tcW w:w="1156" w:type="dxa"/>
            <w:tcBorders>
              <w:top w:val="single" w:sz="4" w:space="0" w:color="000000"/>
              <w:left w:val="nil"/>
              <w:bottom w:val="single" w:sz="4" w:space="0" w:color="000000"/>
              <w:right w:val="single" w:sz="4" w:space="0" w:color="000000"/>
            </w:tcBorders>
            <w:shd w:val="clear" w:color="auto" w:fill="D9D9D9"/>
            <w:vAlign w:val="center"/>
          </w:tcPr>
          <w:p w:rsidR="001E72DB" w:rsidRPr="008A7592" w:rsidRDefault="006A5E87">
            <w:pPr>
              <w:jc w:val="center"/>
              <w:rPr>
                <w:rFonts w:asciiTheme="majorHAnsi" w:eastAsia="gobCL" w:hAnsiTheme="majorHAnsi" w:cstheme="majorHAnsi"/>
                <w:sz w:val="22"/>
                <w:szCs w:val="22"/>
              </w:rPr>
            </w:pPr>
            <w:r w:rsidRPr="008A7592">
              <w:rPr>
                <w:rFonts w:asciiTheme="majorHAnsi" w:eastAsia="gobCL" w:hAnsiTheme="majorHAnsi" w:cstheme="majorHAnsi"/>
                <w:sz w:val="22"/>
                <w:szCs w:val="22"/>
              </w:rPr>
              <w:t>FECHA DE ADQUISICIÓN</w:t>
            </w:r>
          </w:p>
        </w:tc>
      </w:tr>
      <w:tr w:rsidR="001E72DB" w:rsidRPr="008A7592">
        <w:trPr>
          <w:trHeight w:val="265"/>
        </w:trPr>
        <w:tc>
          <w:tcPr>
            <w:tcW w:w="1230" w:type="dxa"/>
            <w:tcBorders>
              <w:top w:val="single" w:sz="4" w:space="0" w:color="000000"/>
              <w:left w:val="single" w:sz="4" w:space="0" w:color="000000"/>
              <w:bottom w:val="single" w:sz="4" w:space="0" w:color="000000"/>
              <w:right w:val="single" w:sz="4" w:space="0" w:color="000000"/>
            </w:tcBorders>
            <w:vAlign w:val="center"/>
          </w:tcPr>
          <w:p w:rsidR="001E72DB" w:rsidRPr="008A7592" w:rsidRDefault="001E72DB">
            <w:pPr>
              <w:rPr>
                <w:rFonts w:asciiTheme="majorHAnsi" w:eastAsia="gobCL" w:hAnsiTheme="majorHAnsi" w:cstheme="majorHAnsi"/>
                <w:sz w:val="22"/>
                <w:szCs w:val="22"/>
              </w:rPr>
            </w:pPr>
          </w:p>
          <w:p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Promoción, publicidad y difusión</w:t>
            </w:r>
          </w:p>
        </w:tc>
        <w:tc>
          <w:tcPr>
            <w:tcW w:w="4980"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Gastos en contratación de servicios publicitarios, de promoción y difusión de los proyectos de fomento productivo, incluidos además servicios asociados a Marketing Digital.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trPr>
          <w:trHeight w:val="265"/>
        </w:trPr>
        <w:tc>
          <w:tcPr>
            <w:tcW w:w="1230" w:type="dxa"/>
            <w:tcBorders>
              <w:top w:val="nil"/>
              <w:left w:val="single" w:sz="4" w:space="0" w:color="000000"/>
              <w:bottom w:val="single" w:sz="4" w:space="0" w:color="000000"/>
              <w:right w:val="single" w:sz="4" w:space="0" w:color="000000"/>
            </w:tcBorders>
            <w:shd w:val="clear" w:color="auto" w:fill="auto"/>
            <w:vAlign w:val="center"/>
          </w:tcPr>
          <w:p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Activos Fijos</w:t>
            </w:r>
          </w:p>
        </w:tc>
        <w:tc>
          <w:tcPr>
            <w:tcW w:w="4980"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Máquinas, equipos, herramientas, mobiliario (mesones, repisas, tableros, caballetes, toldos, stands móviles, etc.).</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r>
      <w:tr w:rsidR="001E72DB" w:rsidRPr="008A7592">
        <w:trPr>
          <w:trHeight w:val="286"/>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Activos Intangibles</w:t>
            </w:r>
          </w:p>
        </w:tc>
        <w:tc>
          <w:tcPr>
            <w:tcW w:w="4980"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b/>
                <w:sz w:val="22"/>
                <w:szCs w:val="22"/>
              </w:rPr>
              <w:t>Adquisición de bienes intangibles</w:t>
            </w:r>
            <w:r w:rsidRPr="008A7592">
              <w:rPr>
                <w:rFonts w:asciiTheme="majorHAnsi" w:eastAsia="gobCL" w:hAnsiTheme="majorHAnsi" w:cstheme="majorHAnsi"/>
                <w:sz w:val="22"/>
                <w:szCs w:val="22"/>
              </w:rPr>
              <w:t>, tales como software, registro de marca, manejo de inventario, catálogos digitales, entre otros que sean estrictamente necesarios para el funcionamiento del proyecto</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r>
      <w:tr w:rsidR="001E72DB" w:rsidRPr="008A7592">
        <w:trPr>
          <w:trHeight w:val="286"/>
        </w:trPr>
        <w:tc>
          <w:tcPr>
            <w:tcW w:w="1230" w:type="dxa"/>
            <w:vMerge w:val="restart"/>
            <w:tcBorders>
              <w:top w:val="single" w:sz="4" w:space="0" w:color="000000"/>
              <w:left w:val="single" w:sz="4" w:space="0" w:color="000000"/>
              <w:right w:val="single" w:sz="4" w:space="0" w:color="000000"/>
            </w:tcBorders>
            <w:shd w:val="clear" w:color="auto" w:fill="auto"/>
            <w:vAlign w:val="center"/>
          </w:tcPr>
          <w:p w:rsidR="001E72DB" w:rsidRPr="008A7592" w:rsidRDefault="006A5E87">
            <w:pPr>
              <w:rPr>
                <w:rFonts w:asciiTheme="majorHAnsi" w:eastAsia="gobCL" w:hAnsiTheme="majorHAnsi" w:cstheme="majorHAnsi"/>
                <w:sz w:val="22"/>
                <w:szCs w:val="22"/>
              </w:rPr>
            </w:pPr>
            <w:r w:rsidRPr="008A7592">
              <w:rPr>
                <w:rFonts w:asciiTheme="majorHAnsi" w:eastAsia="gobCL" w:hAnsiTheme="majorHAnsi" w:cstheme="majorHAnsi"/>
                <w:sz w:val="22"/>
                <w:szCs w:val="22"/>
              </w:rPr>
              <w:t>Capital de trabajo</w:t>
            </w:r>
          </w:p>
        </w:tc>
        <w:tc>
          <w:tcPr>
            <w:tcW w:w="4980"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Materias primas y materiales</w:t>
            </w:r>
            <w:r w:rsidRPr="008A7592">
              <w:rPr>
                <w:rFonts w:asciiTheme="majorHAnsi" w:eastAsia="gobCL" w:hAnsiTheme="majorHAnsi" w:cstheme="majorHAnsi"/>
                <w:sz w:val="22"/>
                <w:szCs w:val="22"/>
              </w:rPr>
              <w:t xml:space="preserve"> del proceso productivo.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trPr>
          <w:trHeight w:val="286"/>
        </w:trPr>
        <w:tc>
          <w:tcPr>
            <w:tcW w:w="1230" w:type="dxa"/>
            <w:vMerge/>
            <w:tcBorders>
              <w:top w:val="single" w:sz="4" w:space="0" w:color="000000"/>
              <w:left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980"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Mercadería</w:t>
            </w:r>
            <w:r w:rsidRPr="008A7592">
              <w:rPr>
                <w:rFonts w:asciiTheme="majorHAnsi" w:eastAsia="gobCL" w:hAnsiTheme="majorHAnsi" w:cstheme="majorHAnsi"/>
                <w:sz w:val="22"/>
                <w:szCs w:val="22"/>
              </w:rPr>
              <w:t>, comprende el gasto en aquellos bienes elaborados que serán objeto de venta directa o comercialización; por ejemplo se compran y se venden pantalones</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r>
      <w:tr w:rsidR="001E72DB" w:rsidRPr="008A7592">
        <w:trPr>
          <w:trHeight w:val="298"/>
        </w:trPr>
        <w:tc>
          <w:tcPr>
            <w:tcW w:w="1230" w:type="dxa"/>
            <w:vMerge/>
            <w:tcBorders>
              <w:top w:val="single" w:sz="4" w:space="0" w:color="000000"/>
              <w:left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980"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Arriendos</w:t>
            </w:r>
            <w:r w:rsidRPr="008A7592">
              <w:rPr>
                <w:rFonts w:asciiTheme="majorHAnsi" w:eastAsia="gobCL" w:hAnsiTheme="majorHAnsi" w:cstheme="majorHAnsi"/>
                <w:sz w:val="22"/>
                <w:szCs w:val="22"/>
              </w:rPr>
              <w:t>: Comprende el gasto en arriendos, actuales o nuevos, de bienes raíces (industriales, comerciales o agrícolas), y/o maquinarias necesarias para el desarrollo del negocio</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hAnsiTheme="majorHAnsi" w:cstheme="majorHAnsi"/>
                <w:sz w:val="22"/>
                <w:szCs w:val="22"/>
              </w:rPr>
              <w:t> </w:t>
            </w:r>
          </w:p>
        </w:tc>
      </w:tr>
      <w:tr w:rsidR="001E72DB" w:rsidRPr="008A7592">
        <w:trPr>
          <w:trHeight w:val="298"/>
        </w:trPr>
        <w:tc>
          <w:tcPr>
            <w:tcW w:w="1230" w:type="dxa"/>
            <w:vMerge/>
            <w:tcBorders>
              <w:top w:val="single" w:sz="4" w:space="0" w:color="000000"/>
              <w:left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eastAsia="gobCL" w:hAnsiTheme="majorHAnsi" w:cstheme="majorHAnsi"/>
                <w:sz w:val="22"/>
                <w:szCs w:val="22"/>
              </w:rPr>
            </w:pPr>
          </w:p>
        </w:tc>
        <w:tc>
          <w:tcPr>
            <w:tcW w:w="4980"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de consumos básicos</w:t>
            </w:r>
            <w:r w:rsidRPr="008A7592">
              <w:rPr>
                <w:rFonts w:asciiTheme="majorHAnsi" w:eastAsia="gobCL" w:hAnsiTheme="majorHAnsi" w:cstheme="majorHAnsi"/>
                <w:sz w:val="22"/>
                <w:szCs w:val="22"/>
              </w:rPr>
              <w:t>: Considera el pago de cuentas de agua, energía eléctrica, gas, teléfono y/o internet, asociados al negocio afectado (la boleta o factura debe estar a nombre de la empresa).</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r>
      <w:tr w:rsidR="001E72DB" w:rsidRPr="008A7592">
        <w:trPr>
          <w:trHeight w:val="298"/>
        </w:trPr>
        <w:tc>
          <w:tcPr>
            <w:tcW w:w="1230" w:type="dxa"/>
            <w:vMerge/>
            <w:tcBorders>
              <w:top w:val="single" w:sz="4" w:space="0" w:color="000000"/>
              <w:left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980" w:type="dxa"/>
            <w:tcBorders>
              <w:top w:val="nil"/>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crédito de consumo Empresa</w:t>
            </w:r>
            <w:r w:rsidRPr="008A7592">
              <w:rPr>
                <w:rFonts w:asciiTheme="majorHAnsi" w:eastAsia="gobCL" w:hAnsiTheme="majorHAnsi" w:cstheme="majorHAnsi"/>
                <w:sz w:val="22"/>
                <w:szCs w:val="22"/>
              </w:rPr>
              <w:t xml:space="preserve">:  Considera el pago de cuotas de crédito de consumo obtenido por empresas jurídicas a contar del mes de noviembre 2019. Considera el pago del capital de la deuda y no de los intereses. Los créditos deben estar suscritos con instituciones financieras reguladas por la Comisión para el Mercado Financiero (ex SBIF), y deben estar a nombre de una persona jurídica. Se podrán pagar hasta 4 cuotas, a contar del 01 de abril. </w:t>
            </w: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011"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c>
          <w:tcPr>
            <w:tcW w:w="1156" w:type="dxa"/>
            <w:tcBorders>
              <w:top w:val="nil"/>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hAnsiTheme="majorHAnsi" w:cstheme="majorHAnsi"/>
                <w:sz w:val="22"/>
                <w:szCs w:val="22"/>
              </w:rPr>
            </w:pPr>
          </w:p>
        </w:tc>
      </w:tr>
      <w:tr w:rsidR="001E72DB" w:rsidRPr="008A7592">
        <w:trPr>
          <w:trHeight w:val="881"/>
        </w:trPr>
        <w:tc>
          <w:tcPr>
            <w:tcW w:w="1230" w:type="dxa"/>
            <w:vMerge/>
            <w:tcBorders>
              <w:top w:val="single" w:sz="4" w:space="0" w:color="000000"/>
              <w:left w:val="single" w:sz="4" w:space="0" w:color="000000"/>
              <w:right w:val="single" w:sz="4" w:space="0" w:color="000000"/>
            </w:tcBorders>
            <w:shd w:val="clear" w:color="auto" w:fill="auto"/>
            <w:vAlign w:val="center"/>
          </w:tcPr>
          <w:p w:rsidR="001E72DB" w:rsidRPr="008A7592" w:rsidRDefault="001E72DB">
            <w:pPr>
              <w:widowControl w:val="0"/>
              <w:pBdr>
                <w:top w:val="nil"/>
                <w:left w:val="nil"/>
                <w:bottom w:val="nil"/>
                <w:right w:val="nil"/>
                <w:between w:val="nil"/>
              </w:pBdr>
              <w:spacing w:line="276" w:lineRule="auto"/>
              <w:rPr>
                <w:rFonts w:asciiTheme="majorHAnsi" w:hAnsiTheme="majorHAnsi" w:cstheme="majorHAnsi"/>
                <w:sz w:val="22"/>
                <w:szCs w:val="22"/>
              </w:rPr>
            </w:pPr>
          </w:p>
        </w:tc>
        <w:tc>
          <w:tcPr>
            <w:tcW w:w="4980"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6A5E87">
            <w:pPr>
              <w:jc w:val="both"/>
              <w:rPr>
                <w:rFonts w:asciiTheme="majorHAnsi" w:eastAsia="gobCL" w:hAnsiTheme="majorHAnsi" w:cstheme="majorHAnsi"/>
                <w:sz w:val="22"/>
                <w:szCs w:val="22"/>
              </w:rPr>
            </w:pPr>
            <w:r w:rsidRPr="008A7592">
              <w:rPr>
                <w:rFonts w:asciiTheme="majorHAnsi" w:eastAsia="gobCL" w:hAnsiTheme="majorHAnsi" w:cstheme="majorHAnsi"/>
                <w:b/>
                <w:sz w:val="22"/>
                <w:szCs w:val="22"/>
              </w:rPr>
              <w:t>Pago de sueldos</w:t>
            </w:r>
            <w:r w:rsidRPr="008A7592">
              <w:rPr>
                <w:rFonts w:asciiTheme="majorHAnsi" w:eastAsia="gobCL" w:hAnsiTheme="majorHAnsi" w:cstheme="majorHAnsi"/>
                <w:sz w:val="22"/>
                <w:szCs w:val="22"/>
              </w:rPr>
              <w:t xml:space="preserve">: Considera el pago de sueldos para aquellos casos en donde el empleador no se haya adscrito a la Ley 21.227 sobre Protección del Empleo. </w:t>
            </w:r>
          </w:p>
        </w:tc>
        <w:tc>
          <w:tcPr>
            <w:tcW w:w="1156"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c>
          <w:tcPr>
            <w:tcW w:w="1156" w:type="dxa"/>
            <w:tcBorders>
              <w:top w:val="single" w:sz="4" w:space="0" w:color="000000"/>
              <w:left w:val="nil"/>
              <w:bottom w:val="single" w:sz="4" w:space="0" w:color="000000"/>
              <w:right w:val="single" w:sz="4" w:space="0" w:color="000000"/>
            </w:tcBorders>
            <w:shd w:val="clear" w:color="auto" w:fill="auto"/>
            <w:vAlign w:val="center"/>
          </w:tcPr>
          <w:p w:rsidR="001E72DB" w:rsidRPr="008A7592" w:rsidRDefault="001E72DB">
            <w:pPr>
              <w:jc w:val="both"/>
              <w:rPr>
                <w:rFonts w:asciiTheme="majorHAnsi" w:eastAsia="gobCL" w:hAnsiTheme="majorHAnsi" w:cstheme="majorHAnsi"/>
                <w:sz w:val="22"/>
                <w:szCs w:val="22"/>
              </w:rPr>
            </w:pPr>
          </w:p>
        </w:tc>
      </w:tr>
    </w:tbl>
    <w:p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rPr>
      </w:pPr>
    </w:p>
    <w:p w:rsidR="001E72DB" w:rsidRPr="008A7592" w:rsidRDefault="006A5E87">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ab/>
      </w:r>
      <w:r w:rsidRPr="008A7592">
        <w:rPr>
          <w:rFonts w:asciiTheme="majorHAnsi" w:eastAsia="gobCL" w:hAnsiTheme="majorHAnsi" w:cstheme="majorHAnsi"/>
          <w:b/>
          <w:sz w:val="20"/>
          <w:szCs w:val="20"/>
        </w:rPr>
        <w:tab/>
      </w:r>
    </w:p>
    <w:p w:rsidR="001E72DB" w:rsidRPr="008A7592" w:rsidRDefault="006A5E87">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ANEXO N°3</w:t>
      </w:r>
    </w:p>
    <w:p w:rsidR="001E72DB" w:rsidRPr="008A7592" w:rsidRDefault="001E72DB">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sz w:val="20"/>
          <w:szCs w:val="20"/>
        </w:rPr>
      </w:pPr>
    </w:p>
    <w:p w:rsidR="001E72DB" w:rsidRPr="008A7592" w:rsidRDefault="006A5E87">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sz w:val="20"/>
          <w:szCs w:val="20"/>
        </w:rPr>
      </w:pPr>
      <w:r w:rsidRPr="008A7592">
        <w:rPr>
          <w:rFonts w:asciiTheme="majorHAnsi" w:eastAsia="gobCL" w:hAnsiTheme="majorHAnsi" w:cstheme="majorHAnsi"/>
          <w:b/>
          <w:sz w:val="20"/>
          <w:szCs w:val="20"/>
        </w:rPr>
        <w:t>DECLARACIÓN JURADA SIMPLE DE NO CONSANGUINIDAD</w:t>
      </w:r>
    </w:p>
    <w:p w:rsidR="001E72DB" w:rsidRPr="008A7592" w:rsidRDefault="006A5E87">
      <w:pPr>
        <w:jc w:val="center"/>
        <w:rPr>
          <w:rFonts w:asciiTheme="majorHAnsi" w:eastAsia="gobCL" w:hAnsiTheme="majorHAnsi" w:cstheme="majorHAnsi"/>
          <w:b/>
          <w:sz w:val="20"/>
          <w:szCs w:val="20"/>
        </w:rPr>
      </w:pPr>
      <w:r w:rsidRPr="008A7592">
        <w:rPr>
          <w:rFonts w:asciiTheme="majorHAnsi" w:eastAsia="gobCL" w:hAnsiTheme="majorHAnsi" w:cstheme="majorHAnsi"/>
          <w:b/>
          <w:sz w:val="20"/>
          <w:szCs w:val="20"/>
        </w:rPr>
        <w:t>EN LA RENDICIÓN DE LOS GASTOS</w:t>
      </w:r>
    </w:p>
    <w:p w:rsidR="001E72DB" w:rsidRPr="008A7592" w:rsidRDefault="006A5E87">
      <w:pPr>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En___________, a _______de_________________________ </w:t>
      </w:r>
      <w:proofErr w:type="spellStart"/>
      <w:r w:rsidRPr="008A7592">
        <w:rPr>
          <w:rFonts w:asciiTheme="majorHAnsi" w:eastAsia="gobCL" w:hAnsiTheme="majorHAnsi" w:cstheme="majorHAnsi"/>
          <w:sz w:val="20"/>
          <w:szCs w:val="20"/>
        </w:rPr>
        <w:t>de</w:t>
      </w:r>
      <w:proofErr w:type="spellEnd"/>
      <w:r w:rsidRPr="008A7592">
        <w:rPr>
          <w:rFonts w:asciiTheme="majorHAnsi" w:eastAsia="gobCL" w:hAnsiTheme="majorHAnsi" w:cstheme="majorHAnsi"/>
          <w:sz w:val="20"/>
          <w:szCs w:val="20"/>
        </w:rPr>
        <w:t xml:space="preserve"> 2020, don/ña _____________________, cédula de identidad Nº______________, participante del proyecto Programa Especial FNDR Capacitación </w:t>
      </w:r>
      <w:proofErr w:type="spellStart"/>
      <w:r w:rsidRPr="008A7592">
        <w:rPr>
          <w:rFonts w:asciiTheme="majorHAnsi" w:eastAsia="gobCL" w:hAnsiTheme="majorHAnsi" w:cstheme="majorHAnsi"/>
          <w:sz w:val="20"/>
          <w:szCs w:val="20"/>
        </w:rPr>
        <w:t>ElijoPyme</w:t>
      </w:r>
      <w:proofErr w:type="spellEnd"/>
      <w:r w:rsidRPr="008A7592">
        <w:rPr>
          <w:rFonts w:asciiTheme="majorHAnsi" w:eastAsia="gobCL" w:hAnsiTheme="majorHAnsi" w:cstheme="majorHAnsi"/>
          <w:sz w:val="20"/>
          <w:szCs w:val="20"/>
        </w:rPr>
        <w:t xml:space="preserve"> II, Región Tarapacá 2020, declara que:</w:t>
      </w:r>
    </w:p>
    <w:p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ítem de </w:t>
      </w:r>
      <w:r w:rsidRPr="008A7592">
        <w:rPr>
          <w:rFonts w:asciiTheme="majorHAnsi" w:eastAsia="gobCL" w:hAnsiTheme="majorHAnsi" w:cstheme="majorHAnsi"/>
          <w:sz w:val="20"/>
          <w:szCs w:val="20"/>
          <w:u w:val="single"/>
        </w:rPr>
        <w:t xml:space="preserve">Activos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 mis propios bienes, de socios, de representantes legales, ni tampoco de respectivos cónyuges, conviviente civil y parientes por consanguinidad y afinidad hasta el segundo grado inclusive (por ejemplo, hijos, padres, abuelos, hermanos).</w:t>
      </w:r>
    </w:p>
    <w:p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El gasto rendido asociado al servicio de flete derivados de la compra y traslado de activos fijos y capital de trabajo</w:t>
      </w:r>
      <w:r w:rsidRPr="008A7592">
        <w:rPr>
          <w:rFonts w:asciiTheme="majorHAnsi" w:eastAsia="gobCL" w:hAnsiTheme="majorHAnsi" w:cstheme="majorHAnsi"/>
          <w:sz w:val="20"/>
          <w:szCs w:val="20"/>
          <w:u w:val="single"/>
        </w:rPr>
        <w:t xml:space="preserve"> </w:t>
      </w:r>
      <w:r w:rsidRPr="008A7592">
        <w:rPr>
          <w:rFonts w:asciiTheme="majorHAnsi" w:eastAsia="gobCL" w:hAnsiTheme="majorHAnsi" w:cstheme="majorHAnsi"/>
          <w:b/>
          <w:sz w:val="20"/>
          <w:szCs w:val="20"/>
          <w:u w:val="single"/>
        </w:rPr>
        <w:t>NO</w:t>
      </w:r>
      <w:r w:rsidRPr="008A7592">
        <w:rPr>
          <w:rFonts w:asciiTheme="majorHAnsi" w:eastAsia="gobCL" w:hAnsiTheme="majorHAnsi" w:cstheme="majorHAnsi"/>
          <w:sz w:val="20"/>
          <w:szCs w:val="20"/>
          <w:u w:val="single"/>
        </w:rPr>
        <w:t xml:space="preserve"> corresponde al pago</w:t>
      </w:r>
      <w:r w:rsidRPr="008A7592">
        <w:rPr>
          <w:rFonts w:asciiTheme="majorHAnsi" w:eastAsia="gobCL" w:hAnsiTheme="majorHAnsi" w:cstheme="majorHAnsi"/>
          <w:sz w:val="20"/>
          <w:szCs w:val="20"/>
        </w:rPr>
        <w:t xml:space="preserve"> a alguno de los socios, representantes legales o de su respectivo cónyuge, conviviente civil, familiares por consanguinidad y afinidad hasta segundo grado inclusive (por ejemplo, hijos, padre, madre y hermanos).</w:t>
      </w:r>
    </w:p>
    <w:p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El gasto rendido en ítem de</w:t>
      </w:r>
      <w:r w:rsidRPr="008A7592">
        <w:rPr>
          <w:rFonts w:asciiTheme="majorHAnsi" w:hAnsiTheme="majorHAnsi" w:cstheme="majorHAnsi"/>
          <w:sz w:val="20"/>
          <w:szCs w:val="20"/>
        </w:rPr>
        <w:t> </w:t>
      </w:r>
      <w:r w:rsidRPr="008A7592">
        <w:rPr>
          <w:rFonts w:asciiTheme="majorHAnsi" w:eastAsia="gobCL" w:hAnsiTheme="majorHAnsi" w:cstheme="majorHAnsi"/>
          <w:sz w:val="20"/>
          <w:szCs w:val="20"/>
          <w:u w:val="single"/>
        </w:rPr>
        <w:t xml:space="preserve">contrataciones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 xml:space="preserve">corresponde </w:t>
      </w:r>
      <w:r w:rsidRPr="008A7592">
        <w:rPr>
          <w:rFonts w:asciiTheme="majorHAnsi" w:eastAsia="gobCL" w:hAnsiTheme="majorHAnsi" w:cstheme="majorHAnsi"/>
          <w:sz w:val="20"/>
          <w:szCs w:val="20"/>
        </w:rPr>
        <w:t>a mi propia remuneración, ni de mis socios, representantes legales, ni de mi respectivo cónyuge, conviviente civil, hijos y parientes por consanguinidad y afinidad hasta el segundo grado inclusive (por ejemplo, hijos, padres, abuelos y hermanos).</w:t>
      </w:r>
    </w:p>
    <w:p w:rsidR="001E72DB" w:rsidRPr="008A7592" w:rsidRDefault="006A5E87">
      <w:pPr>
        <w:numPr>
          <w:ilvl w:val="0"/>
          <w:numId w:val="11"/>
        </w:numPr>
        <w:spacing w:after="200" w:line="276" w:lineRule="auto"/>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el ítem </w:t>
      </w:r>
      <w:r w:rsidRPr="008A7592">
        <w:rPr>
          <w:rFonts w:asciiTheme="majorHAnsi" w:eastAsia="gobCL" w:hAnsiTheme="majorHAnsi" w:cstheme="majorHAnsi"/>
          <w:sz w:val="20"/>
          <w:szCs w:val="20"/>
          <w:u w:val="single"/>
        </w:rPr>
        <w:t>arriendos</w:t>
      </w:r>
      <w:r w:rsidRPr="008A7592">
        <w:rPr>
          <w:rFonts w:asciiTheme="majorHAnsi" w:eastAsia="gobCL" w:hAnsiTheme="majorHAnsi" w:cstheme="majorHAnsi"/>
          <w:sz w:val="20"/>
          <w:szCs w:val="20"/>
        </w:rPr>
        <w:t xml:space="preserve"> de bienes raíces (industriales, comerciales o agrícolas), y/o maquinarias necesarias para el desarrollo del proyecto,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al arrendamiento de bienes propios ni de alguno de los socios/as, representantes legales ni tampoco de sus respectivos cónyuges, conviviente civil, y parientes por consanguinidad y afinidad hasta el segundo grado inclusive (por ejemplo, hijos, padres, abuelos y hermanos).</w:t>
      </w:r>
    </w:p>
    <w:p w:rsidR="001E72DB" w:rsidRPr="008A7592" w:rsidRDefault="006A5E87">
      <w:pPr>
        <w:numPr>
          <w:ilvl w:val="0"/>
          <w:numId w:val="11"/>
        </w:numPr>
        <w:spacing w:after="200" w:line="276" w:lineRule="auto"/>
        <w:ind w:left="709"/>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 xml:space="preserve">El gasto rendido en el ítem </w:t>
      </w:r>
      <w:r w:rsidRPr="008A7592">
        <w:rPr>
          <w:rFonts w:asciiTheme="majorHAnsi" w:eastAsia="gobCL" w:hAnsiTheme="majorHAnsi" w:cstheme="majorHAnsi"/>
          <w:sz w:val="20"/>
          <w:szCs w:val="20"/>
          <w:u w:val="single"/>
        </w:rPr>
        <w:t>materias primas, materiales y mercadería</w:t>
      </w:r>
      <w:r w:rsidRPr="008A7592">
        <w:rPr>
          <w:rFonts w:asciiTheme="majorHAnsi" w:eastAsia="gobCL" w:hAnsiTheme="majorHAnsi" w:cstheme="majorHAnsi"/>
          <w:sz w:val="20"/>
          <w:szCs w:val="20"/>
        </w:rPr>
        <w:t xml:space="preserve">, </w:t>
      </w:r>
      <w:r w:rsidRPr="008A7592">
        <w:rPr>
          <w:rFonts w:asciiTheme="majorHAnsi" w:eastAsia="gobCL" w:hAnsiTheme="majorHAnsi" w:cstheme="majorHAnsi"/>
          <w:b/>
          <w:sz w:val="20"/>
          <w:szCs w:val="20"/>
          <w:u w:val="single"/>
        </w:rPr>
        <w:t xml:space="preserve">NO </w:t>
      </w:r>
      <w:r w:rsidRPr="008A7592">
        <w:rPr>
          <w:rFonts w:asciiTheme="majorHAnsi" w:eastAsia="gobCL" w:hAnsiTheme="majorHAnsi" w:cstheme="majorHAnsi"/>
          <w:sz w:val="20"/>
          <w:szCs w:val="20"/>
          <w:u w:val="single"/>
        </w:rPr>
        <w:t>corresponde</w:t>
      </w:r>
      <w:r w:rsidRPr="008A7592">
        <w:rPr>
          <w:rFonts w:asciiTheme="majorHAnsi" w:eastAsia="gobCL" w:hAnsiTheme="majorHAnsi" w:cstheme="majorHAnsi"/>
          <w:sz w:val="20"/>
          <w:szCs w:val="20"/>
        </w:rPr>
        <w:t xml:space="preserve"> a bienes propios ni de alguno de los socios/as, representantes legales ni tampoco de sus respectivos cónyuges, conviviente civil, y parientes por consanguinidad y afinidad hasta el segundo grado inclusive (por ejemplo, hijos, padres, abuelos y hermanos).</w:t>
      </w:r>
    </w:p>
    <w:p w:rsidR="001E72DB" w:rsidRPr="008A7592" w:rsidRDefault="006A5E87">
      <w:pPr>
        <w:ind w:left="1065"/>
        <w:jc w:val="both"/>
        <w:rPr>
          <w:rFonts w:asciiTheme="majorHAnsi" w:eastAsia="gobCL" w:hAnsiTheme="majorHAnsi" w:cstheme="majorHAnsi"/>
          <w:sz w:val="20"/>
          <w:szCs w:val="20"/>
        </w:rPr>
      </w:pPr>
      <w:r w:rsidRPr="008A7592">
        <w:rPr>
          <w:rFonts w:asciiTheme="majorHAnsi" w:eastAsia="gobCL" w:hAnsiTheme="majorHAnsi" w:cstheme="majorHAnsi"/>
          <w:sz w:val="20"/>
          <w:szCs w:val="20"/>
        </w:rPr>
        <w:t>Da fe con su firma;</w:t>
      </w:r>
    </w:p>
    <w:tbl>
      <w:tblPr>
        <w:tblStyle w:val="affff6"/>
        <w:tblW w:w="3997" w:type="dxa"/>
        <w:tblInd w:w="2479" w:type="dxa"/>
        <w:tblLayout w:type="fixed"/>
        <w:tblLook w:val="0000" w:firstRow="0" w:lastRow="0" w:firstColumn="0" w:lastColumn="0" w:noHBand="0" w:noVBand="0"/>
      </w:tblPr>
      <w:tblGrid>
        <w:gridCol w:w="540"/>
        <w:gridCol w:w="626"/>
        <w:gridCol w:w="2831"/>
      </w:tblGrid>
      <w:tr w:rsidR="001E72DB" w:rsidRPr="008A7592">
        <w:tc>
          <w:tcPr>
            <w:tcW w:w="540" w:type="dxa"/>
          </w:tcPr>
          <w:p w:rsidR="001E72DB" w:rsidRPr="008A7592" w:rsidRDefault="001E72DB">
            <w:pPr>
              <w:spacing w:after="200" w:line="276" w:lineRule="auto"/>
              <w:rPr>
                <w:rFonts w:asciiTheme="majorHAnsi" w:eastAsia="gobCL" w:hAnsiTheme="majorHAnsi" w:cstheme="majorHAnsi"/>
              </w:rPr>
            </w:pPr>
          </w:p>
        </w:tc>
        <w:tc>
          <w:tcPr>
            <w:tcW w:w="626" w:type="dxa"/>
          </w:tcPr>
          <w:p w:rsidR="001E72DB" w:rsidRPr="008A7592" w:rsidRDefault="001E72DB">
            <w:pPr>
              <w:spacing w:after="200" w:line="276" w:lineRule="auto"/>
              <w:rPr>
                <w:rFonts w:asciiTheme="majorHAnsi" w:eastAsia="gobCL" w:hAnsiTheme="majorHAnsi" w:cstheme="majorHAnsi"/>
              </w:rPr>
            </w:pPr>
          </w:p>
        </w:tc>
        <w:tc>
          <w:tcPr>
            <w:tcW w:w="2831" w:type="dxa"/>
            <w:tcBorders>
              <w:top w:val="single" w:sz="4" w:space="0" w:color="000000"/>
              <w:left w:val="nil"/>
              <w:bottom w:val="nil"/>
              <w:right w:val="nil"/>
            </w:tcBorders>
          </w:tcPr>
          <w:p w:rsidR="001E72DB" w:rsidRPr="008A7592" w:rsidRDefault="001E72DB">
            <w:pPr>
              <w:spacing w:after="200" w:line="276" w:lineRule="auto"/>
              <w:rPr>
                <w:rFonts w:asciiTheme="majorHAnsi" w:eastAsia="gobCL" w:hAnsiTheme="majorHAnsi" w:cstheme="majorHAnsi"/>
              </w:rPr>
            </w:pPr>
          </w:p>
        </w:tc>
      </w:tr>
      <w:tr w:rsidR="001E72DB" w:rsidRPr="008A7592">
        <w:tc>
          <w:tcPr>
            <w:tcW w:w="540" w:type="dxa"/>
          </w:tcPr>
          <w:p w:rsidR="001E72DB" w:rsidRPr="008A7592" w:rsidRDefault="001E72DB">
            <w:pPr>
              <w:spacing w:after="200" w:line="276" w:lineRule="auto"/>
              <w:rPr>
                <w:rFonts w:asciiTheme="majorHAnsi" w:eastAsia="gobCL" w:hAnsiTheme="majorHAnsi" w:cstheme="majorHAnsi"/>
              </w:rPr>
            </w:pPr>
          </w:p>
        </w:tc>
        <w:tc>
          <w:tcPr>
            <w:tcW w:w="626" w:type="dxa"/>
          </w:tcPr>
          <w:p w:rsidR="001E72DB" w:rsidRPr="008A7592" w:rsidRDefault="001E72DB">
            <w:pPr>
              <w:spacing w:after="200" w:line="276" w:lineRule="auto"/>
              <w:rPr>
                <w:rFonts w:asciiTheme="majorHAnsi" w:eastAsia="gobCL" w:hAnsiTheme="majorHAnsi" w:cstheme="majorHAnsi"/>
              </w:rPr>
            </w:pPr>
          </w:p>
        </w:tc>
        <w:tc>
          <w:tcPr>
            <w:tcW w:w="2831" w:type="dxa"/>
          </w:tcPr>
          <w:p w:rsidR="001E72DB" w:rsidRPr="008A7592" w:rsidRDefault="006A5E87">
            <w:pPr>
              <w:rPr>
                <w:rFonts w:asciiTheme="majorHAnsi" w:eastAsia="gobCL" w:hAnsiTheme="majorHAnsi" w:cstheme="majorHAnsi"/>
                <w:b/>
              </w:rPr>
            </w:pPr>
            <w:r w:rsidRPr="008A7592">
              <w:rPr>
                <w:rFonts w:asciiTheme="majorHAnsi" w:eastAsia="gobCL" w:hAnsiTheme="majorHAnsi" w:cstheme="majorHAnsi"/>
                <w:b/>
              </w:rPr>
              <w:t xml:space="preserve">Nombre y Firma </w:t>
            </w:r>
          </w:p>
          <w:p w:rsidR="001E72DB" w:rsidRPr="008A7592" w:rsidRDefault="006A5E87">
            <w:pPr>
              <w:spacing w:after="200" w:line="276" w:lineRule="auto"/>
              <w:rPr>
                <w:rFonts w:asciiTheme="majorHAnsi" w:eastAsia="gobCL" w:hAnsiTheme="majorHAnsi" w:cstheme="majorHAnsi"/>
              </w:rPr>
            </w:pPr>
            <w:r w:rsidRPr="008A7592">
              <w:rPr>
                <w:rFonts w:asciiTheme="majorHAnsi" w:eastAsia="gobCL" w:hAnsiTheme="majorHAnsi" w:cstheme="majorHAnsi"/>
                <w:b/>
              </w:rPr>
              <w:t>RUT</w:t>
            </w:r>
          </w:p>
        </w:tc>
      </w:tr>
    </w:tbl>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p w:rsidR="001E72DB" w:rsidRPr="008A7592" w:rsidRDefault="001E72DB">
      <w:pPr>
        <w:rPr>
          <w:rFonts w:asciiTheme="majorHAnsi" w:eastAsia="gobCL" w:hAnsiTheme="majorHAnsi" w:cstheme="majorHAnsi"/>
          <w:b/>
        </w:rPr>
      </w:pPr>
    </w:p>
    <w:p w:rsidR="001E72DB" w:rsidRPr="008A7592" w:rsidRDefault="006A5E87">
      <w:pPr>
        <w:jc w:val="center"/>
        <w:rPr>
          <w:rFonts w:asciiTheme="majorHAnsi" w:eastAsia="gobCL" w:hAnsiTheme="majorHAnsi" w:cstheme="majorHAnsi"/>
          <w:b/>
        </w:rPr>
      </w:pPr>
      <w:r w:rsidRPr="008A7592">
        <w:rPr>
          <w:rFonts w:asciiTheme="majorHAnsi" w:eastAsia="gobCL" w:hAnsiTheme="majorHAnsi" w:cstheme="majorHAnsi"/>
          <w:b/>
        </w:rPr>
        <w:t>ANEXO N° 4</w:t>
      </w:r>
    </w:p>
    <w:p w:rsidR="001E72DB" w:rsidRPr="008A7592" w:rsidRDefault="006A5E87">
      <w:pPr>
        <w:spacing w:before="240" w:after="240"/>
        <w:jc w:val="center"/>
        <w:rPr>
          <w:rFonts w:asciiTheme="majorHAnsi" w:eastAsia="gobCL" w:hAnsiTheme="majorHAnsi" w:cstheme="majorHAnsi"/>
          <w:b/>
          <w:u w:val="single"/>
        </w:rPr>
      </w:pPr>
      <w:r w:rsidRPr="008A7592">
        <w:rPr>
          <w:rFonts w:asciiTheme="majorHAnsi" w:eastAsia="gobCL" w:hAnsiTheme="majorHAnsi" w:cstheme="majorHAnsi"/>
          <w:b/>
          <w:u w:val="single"/>
        </w:rPr>
        <w:t>DECLARACIÓN DE PROBIDAD</w:t>
      </w:r>
    </w:p>
    <w:tbl>
      <w:tblPr>
        <w:tblStyle w:val="affff7"/>
        <w:tblW w:w="8337" w:type="dxa"/>
        <w:tblInd w:w="0" w:type="dxa"/>
        <w:tblLayout w:type="fixed"/>
        <w:tblLook w:val="0400" w:firstRow="0" w:lastRow="0" w:firstColumn="0" w:lastColumn="0" w:noHBand="0" w:noVBand="1"/>
      </w:tblPr>
      <w:tblGrid>
        <w:gridCol w:w="8337"/>
      </w:tblGrid>
      <w:tr w:rsidR="001E72DB" w:rsidRPr="008A7592">
        <w:trPr>
          <w:trHeight w:val="8127"/>
        </w:trPr>
        <w:tc>
          <w:tcPr>
            <w:tcW w:w="8337" w:type="dxa"/>
            <w:shd w:val="clear" w:color="auto" w:fill="auto"/>
          </w:tcPr>
          <w:p w:rsidR="001E72DB" w:rsidRPr="008A7592" w:rsidRDefault="006A5E87">
            <w:pPr>
              <w:pBdr>
                <w:top w:val="nil"/>
                <w:left w:val="nil"/>
                <w:bottom w:val="nil"/>
                <w:right w:val="nil"/>
                <w:between w:val="nil"/>
              </w:pBdr>
              <w:spacing w:line="480" w:lineRule="auto"/>
              <w:rPr>
                <w:rFonts w:asciiTheme="majorHAnsi" w:eastAsia="gobCL" w:hAnsiTheme="majorHAnsi" w:cstheme="majorHAnsi"/>
                <w:sz w:val="22"/>
                <w:szCs w:val="22"/>
              </w:rPr>
            </w:pPr>
            <w:r w:rsidRPr="008A7592">
              <w:rPr>
                <w:rFonts w:asciiTheme="majorHAnsi" w:eastAsia="gobCL" w:hAnsiTheme="majorHAnsi" w:cstheme="majorHAnsi"/>
                <w:sz w:val="22"/>
                <w:szCs w:val="22"/>
              </w:rPr>
              <w:t>A través de la presente, Yo: _________________________________________________________</w:t>
            </w:r>
          </w:p>
          <w:p w:rsidR="001E72DB" w:rsidRPr="008A7592" w:rsidRDefault="006A5E87">
            <w:pPr>
              <w:spacing w:before="240" w:after="240"/>
              <w:ind w:left="37"/>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 xml:space="preserve">Rut:____________________________________ declaro NO afectar el principio de probidad del </w:t>
            </w:r>
            <w:r w:rsidRPr="008A7592">
              <w:rPr>
                <w:rFonts w:asciiTheme="majorHAnsi" w:eastAsia="gobCL" w:hAnsiTheme="majorHAnsi" w:cstheme="majorHAnsi"/>
                <w:b/>
                <w:sz w:val="22"/>
                <w:szCs w:val="22"/>
              </w:rPr>
              <w:t xml:space="preserve">Programa Especial FNDR Capacitación </w:t>
            </w:r>
            <w:proofErr w:type="spellStart"/>
            <w:r w:rsidRPr="008A7592">
              <w:rPr>
                <w:rFonts w:asciiTheme="majorHAnsi" w:eastAsia="gobCL" w:hAnsiTheme="majorHAnsi" w:cstheme="majorHAnsi"/>
                <w:b/>
                <w:sz w:val="22"/>
                <w:szCs w:val="22"/>
              </w:rPr>
              <w:t>ElijoPyme</w:t>
            </w:r>
            <w:proofErr w:type="spellEnd"/>
            <w:r w:rsidRPr="008A7592">
              <w:rPr>
                <w:rFonts w:asciiTheme="majorHAnsi" w:eastAsia="gobCL" w:hAnsiTheme="majorHAnsi" w:cstheme="majorHAnsi"/>
                <w:b/>
                <w:sz w:val="22"/>
                <w:szCs w:val="22"/>
              </w:rPr>
              <w:t xml:space="preserve"> II, Región Tarapacá 2020</w:t>
            </w:r>
            <w:r w:rsidRPr="008A7592">
              <w:rPr>
                <w:rFonts w:asciiTheme="majorHAnsi" w:eastAsia="gobCL" w:hAnsiTheme="majorHAnsi" w:cstheme="majorHAnsi"/>
                <w:sz w:val="22"/>
                <w:szCs w:val="22"/>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8A7592">
              <w:rPr>
                <w:rFonts w:asciiTheme="majorHAnsi" w:eastAsia="gobCL" w:hAnsiTheme="majorHAnsi" w:cstheme="majorHAnsi"/>
                <w:sz w:val="22"/>
                <w:szCs w:val="22"/>
              </w:rPr>
              <w:tab/>
            </w:r>
          </w:p>
          <w:p w:rsidR="001E72DB" w:rsidRPr="008A7592" w:rsidRDefault="001E72DB">
            <w:pPr>
              <w:spacing w:before="240" w:after="240"/>
              <w:jc w:val="both"/>
              <w:rPr>
                <w:rFonts w:asciiTheme="majorHAnsi" w:eastAsia="gobCL" w:hAnsiTheme="majorHAnsi" w:cstheme="majorHAnsi"/>
                <w:sz w:val="22"/>
                <w:szCs w:val="22"/>
              </w:rPr>
            </w:pPr>
          </w:p>
          <w:p w:rsidR="001E72DB" w:rsidRPr="008A7592" w:rsidRDefault="001E72DB">
            <w:pPr>
              <w:spacing w:before="240" w:after="240"/>
              <w:jc w:val="both"/>
              <w:rPr>
                <w:rFonts w:asciiTheme="majorHAnsi" w:eastAsia="gobCL" w:hAnsiTheme="majorHAnsi" w:cstheme="majorHAnsi"/>
                <w:sz w:val="22"/>
                <w:szCs w:val="22"/>
              </w:rPr>
            </w:pPr>
          </w:p>
          <w:p w:rsidR="001E72DB" w:rsidRPr="008A7592" w:rsidRDefault="001E72DB">
            <w:pPr>
              <w:pBdr>
                <w:bottom w:val="single" w:sz="12" w:space="1" w:color="000000"/>
              </w:pBdr>
              <w:spacing w:before="240" w:after="240"/>
              <w:jc w:val="both"/>
              <w:rPr>
                <w:rFonts w:asciiTheme="majorHAnsi" w:eastAsia="gobCL" w:hAnsiTheme="majorHAnsi" w:cstheme="majorHAnsi"/>
                <w:sz w:val="22"/>
                <w:szCs w:val="22"/>
              </w:rPr>
            </w:pPr>
          </w:p>
          <w:p w:rsidR="001E72DB" w:rsidRPr="008A7592"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Beneficiario/a:</w:t>
            </w:r>
          </w:p>
          <w:p w:rsidR="001E72DB" w:rsidRPr="008A7592" w:rsidRDefault="001E72DB">
            <w:pPr>
              <w:spacing w:before="240" w:after="240"/>
              <w:jc w:val="both"/>
              <w:rPr>
                <w:rFonts w:asciiTheme="majorHAnsi" w:eastAsia="gobCL" w:hAnsiTheme="majorHAnsi" w:cstheme="majorHAnsi"/>
                <w:sz w:val="22"/>
                <w:szCs w:val="22"/>
              </w:rPr>
            </w:pPr>
          </w:p>
          <w:p w:rsidR="001E72DB" w:rsidRPr="008A7592" w:rsidRDefault="006A5E87">
            <w:pPr>
              <w:spacing w:before="240" w:after="240"/>
              <w:jc w:val="both"/>
              <w:rPr>
                <w:rFonts w:asciiTheme="majorHAnsi" w:eastAsia="gobCL" w:hAnsiTheme="majorHAnsi" w:cstheme="majorHAnsi"/>
                <w:sz w:val="22"/>
                <w:szCs w:val="22"/>
              </w:rPr>
            </w:pPr>
            <w:r w:rsidRPr="008A7592">
              <w:rPr>
                <w:rFonts w:asciiTheme="majorHAnsi" w:eastAsia="gobCL" w:hAnsiTheme="majorHAnsi" w:cstheme="majorHAnsi"/>
                <w:sz w:val="22"/>
                <w:szCs w:val="22"/>
              </w:rPr>
              <w:t>Sr./</w:t>
            </w:r>
            <w:proofErr w:type="gramStart"/>
            <w:r w:rsidRPr="008A7592">
              <w:rPr>
                <w:rFonts w:asciiTheme="majorHAnsi" w:eastAsia="gobCL" w:hAnsiTheme="majorHAnsi" w:cstheme="majorHAnsi"/>
                <w:sz w:val="22"/>
                <w:szCs w:val="22"/>
              </w:rPr>
              <w:t>a:…</w:t>
            </w:r>
            <w:proofErr w:type="gramEnd"/>
            <w:r w:rsidRPr="008A7592">
              <w:rPr>
                <w:rFonts w:asciiTheme="majorHAnsi" w:eastAsia="gobCL" w:hAnsiTheme="majorHAnsi" w:cstheme="majorHAnsi"/>
                <w:sz w:val="22"/>
                <w:szCs w:val="22"/>
              </w:rPr>
              <w:t>……………………………………………………………….</w:t>
            </w:r>
          </w:p>
          <w:p w:rsidR="001E72DB" w:rsidRPr="008A7592" w:rsidRDefault="001E72DB">
            <w:pPr>
              <w:spacing w:before="240" w:after="240"/>
              <w:jc w:val="both"/>
              <w:rPr>
                <w:rFonts w:asciiTheme="majorHAnsi" w:eastAsia="gobCL" w:hAnsiTheme="majorHAnsi" w:cstheme="majorHAnsi"/>
                <w:sz w:val="22"/>
                <w:szCs w:val="22"/>
              </w:rPr>
            </w:pPr>
          </w:p>
        </w:tc>
      </w:tr>
    </w:tbl>
    <w:p w:rsidR="001E72DB" w:rsidRPr="008A7592" w:rsidRDefault="001E72DB">
      <w:pPr>
        <w:rPr>
          <w:rFonts w:asciiTheme="majorHAnsi" w:eastAsia="gobCL" w:hAnsiTheme="majorHAnsi" w:cstheme="majorHAnsi"/>
        </w:rPr>
      </w:pPr>
    </w:p>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p w:rsidR="001E72DB" w:rsidRPr="008A7592" w:rsidRDefault="001E72DB">
      <w:pPr>
        <w:jc w:val="center"/>
        <w:rPr>
          <w:rFonts w:asciiTheme="majorHAnsi" w:eastAsia="gobCL" w:hAnsiTheme="majorHAnsi" w:cstheme="majorHAnsi"/>
          <w:b/>
        </w:rPr>
      </w:pPr>
    </w:p>
    <w:sectPr w:rsidR="001E72DB" w:rsidRPr="008A7592">
      <w:footerReference w:type="default" r:id="rId15"/>
      <w:pgSz w:w="12240" w:h="15840"/>
      <w:pgMar w:top="8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7A" w:rsidRDefault="000D437A">
      <w:pPr>
        <w:spacing w:after="0" w:line="240" w:lineRule="auto"/>
      </w:pPr>
      <w:r>
        <w:separator/>
      </w:r>
    </w:p>
  </w:endnote>
  <w:endnote w:type="continuationSeparator" w:id="0">
    <w:p w:rsidR="000D437A" w:rsidRDefault="000D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8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E5" w:rsidRDefault="006E10E5">
    <w:pPr>
      <w:pBdr>
        <w:top w:val="nil"/>
        <w:left w:val="nil"/>
        <w:bottom w:val="nil"/>
        <w:right w:val="nil"/>
        <w:between w:val="nil"/>
      </w:pBdr>
      <w:tabs>
        <w:tab w:val="center" w:pos="4419"/>
        <w:tab w:val="right" w:pos="8838"/>
      </w:tabs>
      <w:spacing w:after="0" w:line="240" w:lineRule="auto"/>
      <w:rPr>
        <w:color w:val="000000"/>
      </w:rPr>
    </w:pPr>
  </w:p>
  <w:p w:rsidR="006E10E5" w:rsidRDefault="006E10E5">
    <w:pPr>
      <w:pBdr>
        <w:top w:val="nil"/>
        <w:left w:val="nil"/>
        <w:bottom w:val="nil"/>
        <w:right w:val="nil"/>
        <w:between w:val="nil"/>
      </w:pBdr>
      <w:tabs>
        <w:tab w:val="center" w:pos="4419"/>
        <w:tab w:val="right" w:pos="8838"/>
      </w:tabs>
      <w:spacing w:after="0" w:line="240" w:lineRule="auto"/>
      <w:rPr>
        <w:color w:val="000000"/>
      </w:rPr>
    </w:pPr>
  </w:p>
  <w:p w:rsidR="006E10E5" w:rsidRDefault="006E10E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7A" w:rsidRDefault="000D437A">
      <w:pPr>
        <w:spacing w:after="0" w:line="240" w:lineRule="auto"/>
      </w:pPr>
      <w:r>
        <w:separator/>
      </w:r>
    </w:p>
  </w:footnote>
  <w:footnote w:type="continuationSeparator" w:id="0">
    <w:p w:rsidR="000D437A" w:rsidRDefault="000D437A">
      <w:pPr>
        <w:spacing w:after="0" w:line="240" w:lineRule="auto"/>
      </w:pPr>
      <w:r>
        <w:continuationSeparator/>
      </w:r>
    </w:p>
  </w:footnote>
  <w:footnote w:id="1">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p>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rFonts w:ascii="gobCL" w:eastAsia="gobCL" w:hAnsi="gobCL" w:cs="gobCL"/>
          <w:color w:val="000000"/>
          <w:sz w:val="18"/>
          <w:szCs w:val="18"/>
        </w:rPr>
        <w:t>*: Durante el proceso el Servicio de Cooperación Técnica podrá solicitar documentos al postulante que acrediten los requisitos señalados con validación automática. Lo anterior ante la eventualidad que las instituciones que suministran la información no la entreguen actualizada.</w:t>
      </w:r>
    </w:p>
  </w:footnote>
  <w:footnote w:id="2">
    <w:p w:rsidR="006E10E5" w:rsidRDefault="006E10E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firma de contrato se puede realizar durante el proceso de validación del plan, sin embargo, no es posible ejecutar compras sin antes contar con la validación y/o autorización correspondiente del mismo.</w:t>
      </w:r>
    </w:p>
  </w:footnote>
  <w:footnote w:id="3">
    <w:p w:rsidR="006E10E5" w:rsidRDefault="006E10E5">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4">
    <w:p w:rsidR="006E10E5" w:rsidRDefault="006E10E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9">
    <w:p w:rsidR="006E10E5" w:rsidRDefault="006E10E5">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rsidR="006E10E5" w:rsidRDefault="006E10E5">
      <w:pPr>
        <w:pBdr>
          <w:top w:val="nil"/>
          <w:left w:val="nil"/>
          <w:bottom w:val="nil"/>
          <w:right w:val="nil"/>
          <w:between w:val="nil"/>
        </w:pBdr>
        <w:spacing w:after="0" w:line="240" w:lineRule="auto"/>
        <w:jc w:val="both"/>
        <w:rPr>
          <w:color w:val="000000"/>
          <w:sz w:val="20"/>
          <w:szCs w:val="20"/>
        </w:rPr>
      </w:pPr>
    </w:p>
  </w:footnote>
  <w:footnote w:id="10">
    <w:p w:rsidR="006E10E5" w:rsidRDefault="006E10E5">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471"/>
    <w:multiLevelType w:val="multilevel"/>
    <w:tmpl w:val="25266530"/>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1BD2FC3"/>
    <w:multiLevelType w:val="multilevel"/>
    <w:tmpl w:val="EE748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61648"/>
    <w:multiLevelType w:val="multilevel"/>
    <w:tmpl w:val="DBBA1D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224BB8"/>
    <w:multiLevelType w:val="multilevel"/>
    <w:tmpl w:val="3FD4F38A"/>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1B887208"/>
    <w:multiLevelType w:val="multilevel"/>
    <w:tmpl w:val="CC4C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C7AB0"/>
    <w:multiLevelType w:val="multilevel"/>
    <w:tmpl w:val="1B18E2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341E1"/>
    <w:multiLevelType w:val="multilevel"/>
    <w:tmpl w:val="2D160D40"/>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54993473"/>
    <w:multiLevelType w:val="multilevel"/>
    <w:tmpl w:val="C4F23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5B4281"/>
    <w:multiLevelType w:val="multilevel"/>
    <w:tmpl w:val="160C3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BC4272"/>
    <w:multiLevelType w:val="multilevel"/>
    <w:tmpl w:val="AF7C9A36"/>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5478D4"/>
    <w:multiLevelType w:val="multilevel"/>
    <w:tmpl w:val="7346E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487D74"/>
    <w:multiLevelType w:val="multilevel"/>
    <w:tmpl w:val="4C888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CF410D"/>
    <w:multiLevelType w:val="multilevel"/>
    <w:tmpl w:val="B6DEF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EF61DD"/>
    <w:multiLevelType w:val="multilevel"/>
    <w:tmpl w:val="2BBE810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5"/>
  </w:num>
  <w:num w:numId="4">
    <w:abstractNumId w:val="10"/>
  </w:num>
  <w:num w:numId="5">
    <w:abstractNumId w:val="4"/>
  </w:num>
  <w:num w:numId="6">
    <w:abstractNumId w:val="3"/>
  </w:num>
  <w:num w:numId="7">
    <w:abstractNumId w:val="13"/>
  </w:num>
  <w:num w:numId="8">
    <w:abstractNumId w:val="6"/>
  </w:num>
  <w:num w:numId="9">
    <w:abstractNumId w:val="9"/>
  </w:num>
  <w:num w:numId="10">
    <w:abstractNumId w:val="7"/>
  </w:num>
  <w:num w:numId="11">
    <w:abstractNumId w:val="11"/>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DB"/>
    <w:rsid w:val="000A1D39"/>
    <w:rsid w:val="000D437A"/>
    <w:rsid w:val="001B6F45"/>
    <w:rsid w:val="001E72DB"/>
    <w:rsid w:val="00304CFF"/>
    <w:rsid w:val="00312DFC"/>
    <w:rsid w:val="0042649B"/>
    <w:rsid w:val="0046019E"/>
    <w:rsid w:val="004610F8"/>
    <w:rsid w:val="005548EB"/>
    <w:rsid w:val="00611B75"/>
    <w:rsid w:val="0065421A"/>
    <w:rsid w:val="00664888"/>
    <w:rsid w:val="00687522"/>
    <w:rsid w:val="006A5E87"/>
    <w:rsid w:val="006E10E5"/>
    <w:rsid w:val="007250D4"/>
    <w:rsid w:val="008A7592"/>
    <w:rsid w:val="00905748"/>
    <w:rsid w:val="00A656CE"/>
    <w:rsid w:val="00AE669D"/>
    <w:rsid w:val="00BD5FF1"/>
    <w:rsid w:val="00CF3DF3"/>
    <w:rsid w:val="00D3664A"/>
    <w:rsid w:val="00D81A44"/>
    <w:rsid w:val="00D8281D"/>
    <w:rsid w:val="00E57C2A"/>
    <w:rsid w:val="00E720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C13E"/>
  <w15:docId w15:val="{50671493-7DEA-4280-9452-5BFF61C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5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PrrafodelistaCar">
    <w:name w:val="Párrafo de lista Car"/>
    <w:basedOn w:val="Fuentedeprrafopredeter"/>
    <w:link w:val="Prrafodelista"/>
    <w:uiPriority w:val="34"/>
    <w:rsid w:val="00BC0E2B"/>
  </w:style>
  <w:style w:type="paragraph" w:customStyle="1" w:styleId="Ttulo20">
    <w:name w:val="Título 2°"/>
    <w:basedOn w:val="Ttulo2"/>
    <w:link w:val="Ttulo2Car"/>
    <w:qFormat/>
    <w:rsid w:val="00001C2D"/>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001C2D"/>
    <w:rPr>
      <w:rFonts w:ascii="gobCL" w:eastAsia="Times New Roman" w:hAnsi="gobCL" w:cs="Times New Roman"/>
      <w:b/>
      <w:bCs/>
      <w:iCs/>
      <w:szCs w:val="28"/>
      <w:lang w:eastAsia="es-ES"/>
    </w:rPr>
  </w:style>
  <w:style w:type="paragraph" w:styleId="Textonotaalfinal">
    <w:name w:val="endnote text"/>
    <w:basedOn w:val="Normal"/>
    <w:link w:val="TextonotaalfinalCar"/>
    <w:uiPriority w:val="99"/>
    <w:semiHidden/>
    <w:unhideWhenUsed/>
    <w:rsid w:val="00630F0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0F0D"/>
    <w:rPr>
      <w:sz w:val="20"/>
      <w:szCs w:val="20"/>
    </w:rPr>
  </w:style>
  <w:style w:type="character" w:styleId="Refdenotaalfinal">
    <w:name w:val="endnote reference"/>
    <w:basedOn w:val="Fuentedeprrafopredeter"/>
    <w:uiPriority w:val="99"/>
    <w:semiHidden/>
    <w:unhideWhenUsed/>
    <w:rsid w:val="00630F0D"/>
    <w:rPr>
      <w:vertAlign w:val="superscript"/>
    </w:rPr>
  </w:style>
  <w:style w:type="character" w:customStyle="1" w:styleId="apple-tab-span">
    <w:name w:val="apple-tab-span"/>
    <w:basedOn w:val="Fuentedeprrafopredeter"/>
    <w:rsid w:val="00C17542"/>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tblPr>
      <w:tblStyleRowBandSize w:val="1"/>
      <w:tblStyleColBandSize w:val="1"/>
      <w:tblCellMar>
        <w:left w:w="7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70" w:type="dxa"/>
        <w:right w:w="70" w:type="dxa"/>
      </w:tblCellMar>
    </w:tblPr>
  </w:style>
  <w:style w:type="table" w:customStyle="1" w:styleId="aff4">
    <w:basedOn w:val="TableNormal1"/>
    <w:tblPr>
      <w:tblStyleRowBandSize w:val="1"/>
      <w:tblStyleColBandSize w:val="1"/>
      <w:tblCellMar>
        <w:left w:w="70" w:type="dxa"/>
        <w:right w:w="70"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us.sii.cl/dii_doc/carpeta-tributaria/html/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www.dt.gob.cl/portal/1626/w3-article-1003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xIzBDjsUdcVueNqEI3jJD+zaw==">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26</Pages>
  <Words>8921</Words>
  <Characters>49069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8</cp:revision>
  <dcterms:created xsi:type="dcterms:W3CDTF">2020-09-23T13:48:00Z</dcterms:created>
  <dcterms:modified xsi:type="dcterms:W3CDTF">2020-09-24T18:13:00Z</dcterms:modified>
</cp:coreProperties>
</file>