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bookmarkStart w:id="1" w:name="_GoBack"/>
      <w:bookmarkEnd w:id="1"/>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495718C" w14:textId="05FF2550" w:rsidR="00457DA9" w:rsidRPr="00457DA9" w:rsidRDefault="00457DA9" w:rsidP="00457DA9">
      <w:pPr>
        <w:tabs>
          <w:tab w:val="center" w:pos="4419"/>
        </w:tabs>
        <w:spacing w:before="240" w:after="240"/>
        <w:jc w:val="center"/>
        <w:rPr>
          <w:rFonts w:ascii="gobCL" w:eastAsia="gobCL" w:hAnsi="gobCL" w:cs="gobCL"/>
          <w:b/>
          <w:bCs/>
          <w:color w:val="000000"/>
          <w:sz w:val="36"/>
          <w:szCs w:val="36"/>
        </w:rPr>
      </w:pPr>
      <w:r>
        <w:rPr>
          <w:rFonts w:ascii="gobCL" w:eastAsia="gobCL" w:hAnsi="gobCL" w:cs="gobCL"/>
          <w:b/>
          <w:bCs/>
          <w:color w:val="000000"/>
          <w:sz w:val="36"/>
          <w:szCs w:val="36"/>
        </w:rPr>
        <w:t>Región de Aysén d</w:t>
      </w:r>
      <w:r w:rsidR="00B66355">
        <w:rPr>
          <w:rFonts w:ascii="gobCL" w:eastAsia="gobCL" w:hAnsi="gobCL" w:cs="gobCL"/>
          <w:b/>
          <w:bCs/>
          <w:color w:val="000000"/>
          <w:sz w:val="36"/>
          <w:szCs w:val="36"/>
        </w:rPr>
        <w:t>el General Carlos Ibáñez d</w:t>
      </w:r>
      <w:r w:rsidRPr="00457DA9">
        <w:rPr>
          <w:rFonts w:ascii="gobCL" w:eastAsia="gobCL" w:hAnsi="gobCL" w:cs="gobCL"/>
          <w:b/>
          <w:bCs/>
          <w:color w:val="000000"/>
          <w:sz w:val="36"/>
          <w:szCs w:val="36"/>
        </w:rPr>
        <w:t>el Campo</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Hoy, ante la contingencia nacional, el rol de Sercotec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BancoEstado.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2" w:name="_heading=h.30j0zll" w:colFirst="0" w:colLast="0"/>
      <w:bookmarkEnd w:id="2"/>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947BA2">
        <w:rPr>
          <w:rFonts w:ascii="gobCL" w:eastAsia="gobCL" w:hAnsi="gobCL" w:cs="gobCL"/>
          <w:color w:val="000000"/>
        </w:rPr>
        <w:t xml:space="preserve">ercotec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a la fecha de envío de la postulación. Sercotec validará nuevamente esta condición al momento de la formalización.</w:t>
      </w:r>
      <w:r w:rsidR="00CF17EC" w:rsidRPr="005E29F4">
        <w:rPr>
          <w:rFonts w:ascii="gobCL" w:eastAsia="gobCL" w:hAnsi="gobCL" w:cs="gobCL"/>
        </w:rPr>
        <w:t xml:space="preserve"> </w:t>
      </w:r>
    </w:p>
    <w:p w14:paraId="5466EA99" w14:textId="0C605940"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A335F9" w:rsidRPr="00A335F9">
        <w:rPr>
          <w:rFonts w:ascii="gobCL" w:eastAsia="gobCL" w:hAnsi="gobCL" w:cs="gobCL"/>
          <w:bCs/>
          <w:iCs/>
          <w:color w:val="000000"/>
        </w:rPr>
        <w:t>No haber sido beneficiario de las convocatorias Reactívate de Sercotec (cualquier fuente de financiamiento), de las convocatorias Renace Aysén y Renace Gastronómico Aysén. Sercotec validará nuevamente esta condición al momento de formalizar.</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Para la validación de este requisito, las empresas serán evaluadas por BancoEstado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ccionado, en conjunto con el Agente Operador 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w:t>
      </w:r>
      <w:r w:rsidR="00947BA2">
        <w:rPr>
          <w:rFonts w:ascii="gobCL" w:eastAsia="gobCL" w:hAnsi="gobCL" w:cs="gobCL"/>
          <w:color w:val="000000"/>
        </w:rPr>
        <w:t>Agente Operador 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48A20E3" w14:textId="2180D593" w:rsidR="00472B36" w:rsidRPr="00981F4C" w:rsidRDefault="00472B36" w:rsidP="00472B36">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bCs/>
          <w:iCs/>
          <w:color w:val="000000"/>
        </w:rPr>
      </w:pPr>
      <w:r>
        <w:rPr>
          <w:rFonts w:ascii="gobCL" w:eastAsia="gobCL" w:hAnsi="gobCL" w:cs="gobCL"/>
          <w:color w:val="000000"/>
        </w:rPr>
        <w:t>No haber sid</w:t>
      </w:r>
      <w:r w:rsidR="009E425F" w:rsidRPr="001515EE">
        <w:rPr>
          <w:rFonts w:ascii="gobCL" w:eastAsia="gobCL" w:hAnsi="gobCL" w:cs="gobCL"/>
          <w:color w:val="000000"/>
        </w:rPr>
        <w:t xml:space="preserve">o beneficiario de </w:t>
      </w:r>
      <w:r w:rsidR="00A741D0">
        <w:rPr>
          <w:rFonts w:ascii="gobCL" w:eastAsia="gobCL" w:hAnsi="gobCL" w:cs="gobCL"/>
          <w:color w:val="000000"/>
        </w:rPr>
        <w:t>cualquier</w:t>
      </w:r>
      <w:r w:rsidR="009E425F"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009E425F" w:rsidRPr="001515EE">
        <w:rPr>
          <w:rFonts w:ascii="gobCL" w:eastAsia="gobCL" w:hAnsi="gobCL" w:cs="gobCL"/>
          <w:color w:val="000000"/>
        </w:rPr>
        <w:t>Sercotec 2020</w:t>
      </w:r>
      <w:r w:rsidR="0005712D" w:rsidRPr="0005712D">
        <w:rPr>
          <w:rFonts w:ascii="gobCL" w:eastAsia="gobCL" w:hAnsi="gobCL" w:cs="gobCL"/>
          <w:bCs/>
          <w:iCs/>
          <w:color w:val="000000"/>
        </w:rPr>
        <w:t xml:space="preserve"> </w:t>
      </w:r>
      <w:r w:rsidR="0005712D">
        <w:rPr>
          <w:rFonts w:ascii="gobCL" w:eastAsia="gobCL" w:hAnsi="gobCL" w:cs="gobCL"/>
          <w:bCs/>
          <w:iCs/>
          <w:color w:val="000000"/>
        </w:rPr>
        <w:t>ni</w:t>
      </w:r>
      <w:r w:rsidR="0005712D" w:rsidRPr="0005712D">
        <w:rPr>
          <w:rFonts w:ascii="gobCL" w:eastAsia="gobCL" w:hAnsi="gobCL" w:cs="gobCL"/>
          <w:bCs/>
          <w:iCs/>
          <w:color w:val="000000"/>
        </w:rPr>
        <w:t xml:space="preserve"> de la convocatoria Renace Aysén</w:t>
      </w:r>
      <w:r w:rsidR="008C277A" w:rsidRPr="008C277A">
        <w:rPr>
          <w:rFonts w:ascii="gobCL" w:eastAsia="gobCL" w:hAnsi="gobCL" w:cs="gobCL"/>
          <w:bCs/>
          <w:iCs/>
          <w:color w:val="000000"/>
        </w:rPr>
        <w:t xml:space="preserve"> </w:t>
      </w:r>
      <w:r w:rsidR="008C277A">
        <w:rPr>
          <w:rFonts w:ascii="gobCL" w:eastAsia="gobCL" w:hAnsi="gobCL" w:cs="gobCL"/>
          <w:bCs/>
          <w:iCs/>
          <w:color w:val="000000"/>
        </w:rPr>
        <w:t>y Renace Gastron</w:t>
      </w:r>
      <w:r w:rsidR="00981F4C">
        <w:rPr>
          <w:rFonts w:ascii="gobCL" w:eastAsia="gobCL" w:hAnsi="gobCL" w:cs="gobCL"/>
          <w:bCs/>
          <w:iCs/>
          <w:color w:val="000000"/>
        </w:rPr>
        <w:t>ómico</w:t>
      </w:r>
      <w:r w:rsidR="008C277A">
        <w:rPr>
          <w:rFonts w:ascii="gobCL" w:eastAsia="gobCL" w:hAnsi="gobCL" w:cs="gobCL"/>
          <w:bCs/>
          <w:iCs/>
          <w:color w:val="000000"/>
        </w:rPr>
        <w:t xml:space="preserve"> Aysén.</w:t>
      </w:r>
    </w:p>
    <w:p w14:paraId="14AD0B43" w14:textId="3774A190"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Sercotec, o con el </w:t>
      </w:r>
      <w:r w:rsidR="00947BA2">
        <w:rPr>
          <w:rFonts w:ascii="gobCL" w:eastAsia="gobCL" w:hAnsi="gobCL" w:cs="gobCL"/>
          <w:color w:val="000000"/>
        </w:rPr>
        <w:t>Agente Operador 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Sercotec,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Pr>
          <w:rFonts w:ascii="gobCL" w:eastAsia="gobCL" w:hAnsi="gobCL" w:cs="gobCL"/>
          <w:color w:val="000000"/>
        </w:rPr>
        <w:t>Agente Operador 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Sercotec, o del </w:t>
      </w:r>
      <w:r w:rsidR="00420541">
        <w:rPr>
          <w:rFonts w:ascii="gobCL" w:eastAsia="gobCL" w:hAnsi="gobCL" w:cs="gobCL"/>
          <w:color w:val="000000"/>
        </w:rPr>
        <w:t>Agente Operador 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Sercotec, o el </w:t>
      </w:r>
      <w:r w:rsidR="00DD4F43">
        <w:rPr>
          <w:rFonts w:ascii="gobCL" w:eastAsia="gobCL" w:hAnsi="gobCL" w:cs="gobCL"/>
          <w:color w:val="000000"/>
        </w:rPr>
        <w:t>Agente Operador 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Agente Operador Sercotec</w:t>
      </w:r>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Agente Operador 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Sercotec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59D61ADD" w14:textId="74416490" w:rsidR="00A80B7B" w:rsidRPr="00A80B7B" w:rsidRDefault="00A80B7B" w:rsidP="00A80B7B">
      <w:pPr>
        <w:spacing w:before="240" w:after="240" w:line="240" w:lineRule="auto"/>
        <w:jc w:val="both"/>
        <w:rPr>
          <w:rFonts w:ascii="gobCL" w:eastAsia="gobCL" w:hAnsi="gobCL" w:cs="gobCL"/>
        </w:rPr>
      </w:pPr>
      <w:r w:rsidRPr="00A80B7B">
        <w:rPr>
          <w:rFonts w:ascii="gobCL" w:eastAsia="gobCL" w:hAnsi="gobCL" w:cs="gobCL"/>
        </w:rPr>
        <w:t>Para que las personas interesadas realicen consultas, Sercotec dispondrá un AOS. Para esta convocatoria, el Agente asignado es: CODESSER, t</w:t>
      </w:r>
      <w:r>
        <w:rPr>
          <w:rFonts w:ascii="gobCL" w:eastAsia="gobCL" w:hAnsi="gobCL" w:cs="gobCL"/>
        </w:rPr>
        <w:t xml:space="preserve">eléfono 67-2244692. </w:t>
      </w:r>
      <w:r w:rsidRPr="00A80B7B">
        <w:rPr>
          <w:rFonts w:ascii="gobCL" w:eastAsia="gobCL" w:hAnsi="gobCL" w:cs="gobCL"/>
        </w:rPr>
        <w:t xml:space="preserve">Además, puede pedir orientación a los Puntos Mipe, por teléfono, o bien, ingresando a </w:t>
      </w:r>
      <w:hyperlink r:id="rId13" w:history="1">
        <w:r w:rsidRPr="00A80B7B">
          <w:rPr>
            <w:rStyle w:val="Hipervnculo"/>
            <w:rFonts w:ascii="gobCL" w:eastAsia="gobCL" w:hAnsi="gobCL" w:cs="gobCL"/>
          </w:rPr>
          <w:t>www.sercotec.cl</w:t>
        </w:r>
      </w:hyperlink>
      <w:r w:rsidRPr="00A80B7B">
        <w:rPr>
          <w:rFonts w:ascii="gobCL" w:eastAsia="gobCL" w:hAnsi="gobCL" w:cs="gobCL"/>
        </w:rPr>
        <w:t xml:space="preserve">. </w:t>
      </w:r>
    </w:p>
    <w:p w14:paraId="52BF38DC" w14:textId="6C2AA83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la evaluación será realizada por BancoEstado, quien informará a Sercotec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r>
        <w:rPr>
          <w:rFonts w:ascii="gobCL" w:eastAsia="gobCL" w:hAnsi="gobCL" w:cs="gobCL"/>
        </w:rPr>
        <w:lastRenderedPageBreak/>
        <w:t xml:space="preserve">Total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153297EB"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En consideración de lo anterior, para el caso de esta convocatoria. el número de empresas que podrán ser selecc</w:t>
      </w:r>
      <w:r w:rsidR="0043364E">
        <w:rPr>
          <w:rFonts w:ascii="gobCL" w:eastAsia="gobCL" w:hAnsi="gobCL" w:cs="gobCL"/>
        </w:rPr>
        <w:t>ionadas en primera instancia es de 20 (veinte)</w:t>
      </w:r>
      <w:r w:rsidR="00DC3164" w:rsidRPr="002021E7">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w:t>
            </w:r>
            <w:r w:rsidR="00C07285">
              <w:rPr>
                <w:rFonts w:ascii="gobCL" w:eastAsia="gobCL" w:hAnsi="gobCL" w:cs="gobCL"/>
                <w:sz w:val="22"/>
                <w:szCs w:val="22"/>
              </w:rPr>
              <w:lastRenderedPageBreak/>
              <w:t xml:space="preserve">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Agente Operador Sercotec</w:t>
      </w:r>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Agente Operador 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4"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Excepcionalmente, Sercotec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Agente Operador 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Agente Operador 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Agente Operador 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C50572">
        <w:rPr>
          <w:rFonts w:ascii="gobCL" w:eastAsia="gobCL" w:hAnsi="gobCL" w:cs="gobCL"/>
          <w:color w:val="000000"/>
        </w:rPr>
        <w:lastRenderedPageBreak/>
        <w:t xml:space="preserve">autorizar la ampliación de dicho plazo, considerando los antecedentes presentados por el </w:t>
      </w:r>
      <w:r w:rsidR="00DD4F43" w:rsidRPr="00C50572">
        <w:rPr>
          <w:rFonts w:ascii="gobCL" w:eastAsia="gobCL" w:hAnsi="gobCL" w:cs="gobCL"/>
          <w:color w:val="000000"/>
        </w:rPr>
        <w:t>Agente Operador Sercotec</w:t>
      </w:r>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Agente Operador 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Agente Operador Sercotec</w:t>
      </w:r>
      <w:r w:rsidRPr="00CA75E0">
        <w:rPr>
          <w:rFonts w:ascii="gobCL" w:eastAsia="gobCL" w:hAnsi="gobCL" w:cs="gobCL"/>
        </w:rPr>
        <w:t xml:space="preserve">,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w:t>
      </w:r>
      <w:r w:rsidRPr="00CA75E0">
        <w:rPr>
          <w:rFonts w:ascii="gobCL" w:eastAsia="gobCL" w:hAnsi="gobCL" w:cs="gobCL"/>
        </w:rPr>
        <w:lastRenderedPageBreak/>
        <w:t xml:space="preserve">modificaciones; lo cual se refleja en la aprobación por parte de el/la Directora/a Regional del respectivo informe de cierre que deberá ser preparado por el </w:t>
      </w:r>
      <w:r w:rsidR="00DD4F43">
        <w:rPr>
          <w:rFonts w:ascii="gobCL" w:eastAsia="gobCL" w:hAnsi="gobCL" w:cs="gobCL"/>
          <w:color w:val="000000"/>
        </w:rPr>
        <w:t>Agente Operador Sercotec</w:t>
      </w:r>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Agente Operador Sercotec</w:t>
      </w:r>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Agente Operador 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Agente Operador Sercotec</w:t>
      </w:r>
      <w:r w:rsidRPr="00CA75E0">
        <w:rPr>
          <w:rFonts w:ascii="gobCL" w:eastAsia="gobCL" w:hAnsi="gobCL" w:cs="gobCL"/>
        </w:rPr>
        <w:t xml:space="preserve">, dentro de un plazo de 5 días hábiles, contados desde el ingreso de la solicitud, deberá remitir dichos antecedentes a Sercotec.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Agente Operador 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Agente Operador 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w:t>
      </w:r>
      <w:r w:rsidR="00DD4F43">
        <w:rPr>
          <w:rFonts w:ascii="gobCL" w:eastAsia="gobCL" w:hAnsi="gobCL" w:cs="gobCL"/>
          <w:color w:val="000000"/>
        </w:rPr>
        <w:t>Agente Operador Sercotec</w:t>
      </w:r>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Pr>
          <w:rFonts w:ascii="gobCL" w:eastAsia="gobCL" w:hAnsi="gobCL" w:cs="gobCL"/>
          <w:color w:val="000000"/>
        </w:rPr>
        <w:t>Agente Operador Sercotec</w:t>
      </w:r>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r w:rsidR="00576338" w:rsidRPr="00576338">
        <w:rPr>
          <w:rFonts w:ascii="gobCL" w:eastAsia="gobCL" w:hAnsi="gobCL" w:cs="gobCL"/>
          <w:iCs/>
        </w:rPr>
        <w:lastRenderedPageBreak/>
        <w:t>BancoEstado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Sercotec con el </w:t>
            </w:r>
            <w:r w:rsidR="00DD4F43" w:rsidRPr="00DD4F43">
              <w:rPr>
                <w:rFonts w:ascii="gobCL" w:eastAsia="gobCL" w:hAnsi="gobCL" w:cs="gobCL"/>
              </w:rPr>
              <w:t>Agente Operador Sercotec</w:t>
            </w:r>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677CEAE9" w:rsidR="00B70DAC" w:rsidRPr="00F11208" w:rsidRDefault="00A335F9" w:rsidP="0005311B">
            <w:pPr>
              <w:jc w:val="both"/>
              <w:rPr>
                <w:rFonts w:ascii="gobCL" w:eastAsia="gobCL" w:hAnsi="gobCL" w:cs="gobCL"/>
              </w:rPr>
            </w:pPr>
            <w:r w:rsidRPr="00A335F9">
              <w:rPr>
                <w:rFonts w:ascii="gobCL" w:eastAsia="gobCL" w:hAnsi="gobCL" w:cs="gobCL"/>
                <w:bCs/>
                <w:iCs/>
              </w:rPr>
              <w:t xml:space="preserve">No haber sido beneficiario de las convocatorias Reactívate de Sercotec (cualquier fuente de financiamiento), de las convocatorias Renace Aysén </w:t>
            </w:r>
            <w:bookmarkStart w:id="4" w:name="_Hlk47606360"/>
            <w:r w:rsidRPr="00A335F9">
              <w:rPr>
                <w:rFonts w:ascii="gobCL" w:eastAsia="gobCL" w:hAnsi="gobCL" w:cs="gobCL"/>
                <w:bCs/>
                <w:iCs/>
              </w:rPr>
              <w:t>y Renace Gastronómico Aysén</w:t>
            </w:r>
            <w:bookmarkEnd w:id="4"/>
            <w:r w:rsidRPr="00A335F9">
              <w:rPr>
                <w:rFonts w:ascii="gobCL" w:eastAsia="gobCL" w:hAnsi="gobCL" w:cs="gobCL"/>
                <w:bCs/>
                <w:iCs/>
              </w:rPr>
              <w:t>. Sercotec validará nuevamente esta condición al momento de formalizar</w:t>
            </w:r>
            <w:r w:rsidRPr="00A335F9">
              <w:rPr>
                <w:rFonts w:ascii="gobCL" w:eastAsia="gobCL" w:hAnsi="gobCL" w:cs="gobCL"/>
                <w:b/>
                <w:bCs/>
                <w:i/>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6918DB94" w14:textId="4C2668B2"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7"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Evaluación realizada por BancoEstado e informada a Sercotec.</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Agente Operador Sercotec</w:t>
            </w:r>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Agente Operador 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Sercotec y/o con el </w:t>
            </w:r>
            <w:r w:rsidR="00DD4F43">
              <w:rPr>
                <w:rFonts w:ascii="gobCL" w:eastAsia="gobCL" w:hAnsi="gobCL" w:cs="gobCL"/>
                <w:color w:val="000000"/>
              </w:rPr>
              <w:t>Agente Operador Sercotec</w:t>
            </w:r>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rsidTr="0074421D">
        <w:tc>
          <w:tcPr>
            <w:tcW w:w="4531" w:type="dxa"/>
          </w:tcPr>
          <w:p w14:paraId="61A56785" w14:textId="19C9D1AF" w:rsidR="001515EE" w:rsidRPr="00D0355B" w:rsidRDefault="00A335F9" w:rsidP="00A335F9">
            <w:pPr>
              <w:ind w:left="25"/>
              <w:jc w:val="both"/>
              <w:rPr>
                <w:rFonts w:ascii="gobCL" w:eastAsia="gobCL" w:hAnsi="gobCL" w:cs="gobCL"/>
              </w:rPr>
            </w:pPr>
            <w:r w:rsidRPr="00A335F9">
              <w:rPr>
                <w:rFonts w:ascii="gobCL" w:eastAsia="gobCL" w:hAnsi="gobCL" w:cs="gobCL"/>
                <w:bCs/>
                <w:iCs/>
              </w:rPr>
              <w:t xml:space="preserve">No haber sido beneficiario de las convocatorias Reactívate de Sercotec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n.c.p.</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n.c.p.</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(night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n.c.p.</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n.c.p.</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prod.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n.c.p.</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n.c.p.</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n.c.p.</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n.c.p.</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n.c.p.</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agroelaborados: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souvenir: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Fogape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políticas crediticias de BancoEstado</w:t>
      </w:r>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Monto máximo de hasta 3 meses de ventas netas de la empresa en un período normal (oct 2018 – sep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La garantía Fogape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Sin perjuicio de aquello, la documentación sólo podrá ser solicitada por BancoEstado una vez que Sercotec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4B66C" w14:textId="77777777" w:rsidR="00811F74" w:rsidRDefault="00811F74">
      <w:pPr>
        <w:spacing w:after="0" w:line="240" w:lineRule="auto"/>
      </w:pPr>
      <w:r>
        <w:separator/>
      </w:r>
    </w:p>
  </w:endnote>
  <w:endnote w:type="continuationSeparator" w:id="0">
    <w:p w14:paraId="0428F27E" w14:textId="77777777" w:rsidR="00811F74" w:rsidRDefault="0081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457DA9" w:rsidRDefault="00457D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1F99D38" w:rsidR="00457DA9" w:rsidRDefault="00457DA9">
        <w:pPr>
          <w:pStyle w:val="Piedepgina"/>
          <w:jc w:val="right"/>
        </w:pPr>
        <w:r>
          <w:fldChar w:fldCharType="begin"/>
        </w:r>
        <w:r>
          <w:instrText>PAGE   \* MERGEFORMAT</w:instrText>
        </w:r>
        <w:r>
          <w:fldChar w:fldCharType="separate"/>
        </w:r>
        <w:r w:rsidR="000619CC" w:rsidRPr="000619CC">
          <w:rPr>
            <w:noProof/>
            <w:lang w:val="es-ES"/>
          </w:rPr>
          <w:t>4</w:t>
        </w:r>
        <w:r>
          <w:fldChar w:fldCharType="end"/>
        </w:r>
      </w:p>
    </w:sdtContent>
  </w:sdt>
  <w:p w14:paraId="595D47AB" w14:textId="77777777" w:rsidR="00457DA9" w:rsidRDefault="00457DA9"/>
  <w:p w14:paraId="3B7F7823" w14:textId="77777777" w:rsidR="00457DA9" w:rsidRDefault="00457DA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457DA9" w:rsidRDefault="00457D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BA730" w14:textId="77777777" w:rsidR="00811F74" w:rsidRDefault="00811F74">
      <w:pPr>
        <w:spacing w:after="0" w:line="240" w:lineRule="auto"/>
      </w:pPr>
      <w:r>
        <w:separator/>
      </w:r>
    </w:p>
  </w:footnote>
  <w:footnote w:type="continuationSeparator" w:id="0">
    <w:p w14:paraId="3AD61539" w14:textId="77777777" w:rsidR="00811F74" w:rsidRDefault="00811F74">
      <w:pPr>
        <w:spacing w:after="0" w:line="240" w:lineRule="auto"/>
      </w:pPr>
      <w:r>
        <w:continuationSeparator/>
      </w:r>
    </w:p>
  </w:footnote>
  <w:footnote w:id="1">
    <w:p w14:paraId="14CF1DD0" w14:textId="117883F2" w:rsidR="00457DA9" w:rsidRPr="000E299A" w:rsidRDefault="00457DA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457DA9" w:rsidRDefault="00457DA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57DA9" w:rsidRDefault="00457DA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57DA9" w:rsidRDefault="00457DA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57DA9" w:rsidRDefault="00457DA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457DA9" w:rsidRDefault="00457DA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457DA9" w:rsidRPr="008162AE" w:rsidRDefault="00457DA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457DA9" w:rsidRPr="007D6CAE" w:rsidRDefault="00457DA9" w:rsidP="008162AE">
      <w:pPr>
        <w:pStyle w:val="Textonotapie"/>
        <w:jc w:val="both"/>
        <w:rPr>
          <w:lang w:val="es-ES"/>
        </w:rPr>
      </w:pPr>
    </w:p>
  </w:footnote>
  <w:footnote w:id="8">
    <w:p w14:paraId="72059EB8" w14:textId="77777777" w:rsidR="00457DA9" w:rsidRDefault="00457DA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457DA9" w:rsidRPr="00C50572" w:rsidRDefault="00457DA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457DA9" w:rsidRPr="00C50572" w:rsidRDefault="00457DA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457DA9" w:rsidRDefault="00457D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457DA9" w:rsidRDefault="00457D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457DA9" w:rsidRDefault="00457D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19CC"/>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77137"/>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2643F"/>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1B25"/>
    <w:rsid w:val="003E2A1B"/>
    <w:rsid w:val="003F09A2"/>
    <w:rsid w:val="003F29F2"/>
    <w:rsid w:val="003F6EA1"/>
    <w:rsid w:val="00401408"/>
    <w:rsid w:val="00404A00"/>
    <w:rsid w:val="00404BF8"/>
    <w:rsid w:val="0040533F"/>
    <w:rsid w:val="00406BA9"/>
    <w:rsid w:val="0040737B"/>
    <w:rsid w:val="00420284"/>
    <w:rsid w:val="00420541"/>
    <w:rsid w:val="0043364E"/>
    <w:rsid w:val="00434E8F"/>
    <w:rsid w:val="0044638D"/>
    <w:rsid w:val="0044760A"/>
    <w:rsid w:val="00447A31"/>
    <w:rsid w:val="00450A16"/>
    <w:rsid w:val="00451C4C"/>
    <w:rsid w:val="00455409"/>
    <w:rsid w:val="0045696A"/>
    <w:rsid w:val="00457DA9"/>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23C7"/>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1C99"/>
    <w:rsid w:val="006530F5"/>
    <w:rsid w:val="006564C9"/>
    <w:rsid w:val="00656834"/>
    <w:rsid w:val="00656D26"/>
    <w:rsid w:val="006577FE"/>
    <w:rsid w:val="00662C37"/>
    <w:rsid w:val="0066415F"/>
    <w:rsid w:val="00665435"/>
    <w:rsid w:val="00670C52"/>
    <w:rsid w:val="00673820"/>
    <w:rsid w:val="006806C1"/>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1F74"/>
    <w:rsid w:val="008162AE"/>
    <w:rsid w:val="0082040F"/>
    <w:rsid w:val="008215B4"/>
    <w:rsid w:val="00827089"/>
    <w:rsid w:val="008273BB"/>
    <w:rsid w:val="0083367A"/>
    <w:rsid w:val="008423D4"/>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1A8"/>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36C5"/>
    <w:rsid w:val="009F4DD6"/>
    <w:rsid w:val="009F513B"/>
    <w:rsid w:val="00A050C1"/>
    <w:rsid w:val="00A07E28"/>
    <w:rsid w:val="00A11054"/>
    <w:rsid w:val="00A16FCE"/>
    <w:rsid w:val="00A21BF8"/>
    <w:rsid w:val="00A335F9"/>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0B7B"/>
    <w:rsid w:val="00A835E2"/>
    <w:rsid w:val="00A92F88"/>
    <w:rsid w:val="00A94C89"/>
    <w:rsid w:val="00AA1EF7"/>
    <w:rsid w:val="00AB4999"/>
    <w:rsid w:val="00AC4C75"/>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355"/>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CF6813"/>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eader" Target="header3.xml"/><Relationship Id="rId10" Type="http://schemas.openxmlformats.org/officeDocument/2006/relationships/hyperlink" Target="http://www.sercotec.cl"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gistro.sernatur.cl" TargetMode="External"/><Relationship Id="rId22" Type="http://schemas.openxmlformats.org/officeDocument/2006/relationships/footer" Target="footer2.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866383-D83A-4D3A-8913-33097342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10640</Words>
  <Characters>58522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5</cp:revision>
  <cp:lastPrinted>2020-08-31T14:52:00Z</cp:lastPrinted>
  <dcterms:created xsi:type="dcterms:W3CDTF">2020-08-31T14:53:00Z</dcterms:created>
  <dcterms:modified xsi:type="dcterms:W3CDTF">2020-08-31T14:56:00Z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