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78194FF9" w:rsidR="008879E4" w:rsidRDefault="005A6BC4" w:rsidP="00870369">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4D2530">
        <w:rPr>
          <w:rFonts w:ascii="gobCL" w:eastAsia="gobCL" w:hAnsi="gobCL" w:cs="gobCL"/>
          <w:b/>
          <w:color w:val="000000"/>
          <w:sz w:val="36"/>
          <w:szCs w:val="36"/>
        </w:rPr>
        <w:t xml:space="preserve"> PROVINCIA DE CAUTÍN</w:t>
      </w:r>
    </w:p>
    <w:p w14:paraId="183108E6" w14:textId="3D844980"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50DBEF2"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D2530">
        <w:rPr>
          <w:rFonts w:ascii="gobCL" w:eastAsia="gobCL" w:hAnsi="gobCL" w:cs="gobCL"/>
          <w:b/>
          <w:color w:val="000000"/>
          <w:sz w:val="36"/>
          <w:szCs w:val="36"/>
        </w:rPr>
        <w:t>la Araucanía</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71E3A8F4"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D754CC">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7569A1FE"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 xml:space="preserve">con ventas netas mayores o iguales a 200 UF e inferiores o iguales a </w:t>
      </w:r>
      <w:r w:rsidR="00D754CC">
        <w:rPr>
          <w:rFonts w:ascii="gobCL" w:eastAsia="gobCL" w:hAnsi="gobCL" w:cs="gobCL"/>
          <w:lang w:val="es-ES_tradnl"/>
        </w:rPr>
        <w:t>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D754CC">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7E314C77"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anuales mayores o iguales a 2</w:t>
      </w:r>
      <w:r w:rsidR="00D754CC">
        <w:rPr>
          <w:rFonts w:ascii="gobCL" w:eastAsia="gobCL" w:hAnsi="gobCL" w:cs="gobCL"/>
          <w:b/>
        </w:rPr>
        <w:t>00 UF e inferiores o 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06FD78CE"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D754CC">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49CBBBAA"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D754CC">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20DA0104"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D754CC">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7D253702"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D754CC">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55BF2FC1"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D754CC">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D754CC">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314AA7E6"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2A53285A" w14:textId="77777777" w:rsidR="00D754CC" w:rsidRPr="00D754CC" w:rsidRDefault="00D754CC" w:rsidP="00D754CC">
      <w:pPr>
        <w:pStyle w:val="Prrafodelista"/>
        <w:numPr>
          <w:ilvl w:val="0"/>
          <w:numId w:val="7"/>
        </w:numPr>
        <w:jc w:val="both"/>
        <w:rPr>
          <w:rFonts w:ascii="gobCL" w:eastAsia="gobCL" w:hAnsi="gobCL" w:cs="gobCL"/>
          <w:color w:val="000000"/>
        </w:rPr>
      </w:pPr>
      <w:r w:rsidRPr="00D754CC">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1817ECF6" w14:textId="77777777" w:rsidR="00D754CC" w:rsidRPr="00CA75E0" w:rsidRDefault="00D754CC" w:rsidP="00D754CC">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4C880016" w:rsidR="001E2557" w:rsidRPr="00DB3D0E" w:rsidRDefault="00EC7674" w:rsidP="00242AFC">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242AFC" w:rsidRPr="00242AFC">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4E94A553" w:rsidR="000F3896" w:rsidRPr="000F3896" w:rsidRDefault="000448C2" w:rsidP="00D754CC">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r w:rsidR="00D754CC">
        <w:rPr>
          <w:rFonts w:ascii="gobCL" w:eastAsia="gobCL" w:hAnsi="gobCL" w:cs="gobCL"/>
          <w:lang w:val="es-ES"/>
        </w:rPr>
        <w:t xml:space="preserve"> </w:t>
      </w:r>
      <w:r w:rsidR="00D754CC" w:rsidRPr="00D754CC">
        <w:rPr>
          <w:rFonts w:ascii="gobCL" w:eastAsia="gobCL" w:hAnsi="gobCL" w:cs="gobCL"/>
          <w:lang w:val="es-ES"/>
        </w:rPr>
        <w:t>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w:t>
      </w:r>
      <w:r w:rsidRPr="00CA75E0">
        <w:rPr>
          <w:rFonts w:ascii="gobCL" w:eastAsia="gobCL" w:hAnsi="gobCL" w:cs="gobCL"/>
          <w:color w:val="000000"/>
        </w:rPr>
        <w:lastRenderedPageBreak/>
        <w:t xml:space="preserve">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w:t>
      </w:r>
      <w:r w:rsidR="00C07285">
        <w:rPr>
          <w:rFonts w:ascii="gobCL" w:eastAsia="gobCL" w:hAnsi="gobCL" w:cs="gobCL"/>
          <w:b/>
          <w:color w:val="000000"/>
        </w:rPr>
        <w:lastRenderedPageBreak/>
        <w:t>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1EB4D02D" w14:textId="55CB4A2C" w:rsidR="008373E4" w:rsidRDefault="008373E4">
      <w:pPr>
        <w:spacing w:before="240" w:after="240" w:line="240" w:lineRule="auto"/>
        <w:jc w:val="both"/>
        <w:rPr>
          <w:rFonts w:ascii="gobCL" w:eastAsia="gobCL" w:hAnsi="gobCL" w:cs="gobCL"/>
        </w:rPr>
      </w:pPr>
      <w:r w:rsidRPr="008373E4">
        <w:rPr>
          <w:rFonts w:ascii="gobCL" w:eastAsia="gobCL" w:hAnsi="gobCL" w:cs="gobCL"/>
        </w:rPr>
        <w:t xml:space="preserve">Para que las personas interesadas realicen consultas, Sercotec dispondrá un AOS. Para esta convocatoria, el Agente asignado es: Visión Ingenieros Asociados Limitada, teléfono +56 9 34693104, correo electrónico reactivate@v-i.cl. Además, puede pedir orientación a los Puntos </w:t>
      </w:r>
      <w:proofErr w:type="spellStart"/>
      <w:r w:rsidRPr="008373E4">
        <w:rPr>
          <w:rFonts w:ascii="gobCL" w:eastAsia="gobCL" w:hAnsi="gobCL" w:cs="gobCL"/>
        </w:rPr>
        <w:t>Mipe</w:t>
      </w:r>
      <w:proofErr w:type="spellEnd"/>
      <w:r w:rsidRPr="008373E4">
        <w:rPr>
          <w:rFonts w:ascii="gobCL" w:eastAsia="gobCL" w:hAnsi="gobCL" w:cs="gobCL"/>
        </w:rPr>
        <w:t>, a los teléfono</w:t>
      </w:r>
      <w:r>
        <w:rPr>
          <w:rFonts w:ascii="gobCL" w:eastAsia="gobCL" w:hAnsi="gobCL" w:cs="gobCL"/>
        </w:rPr>
        <w:t>s</w:t>
      </w:r>
      <w:r w:rsidRPr="008373E4">
        <w:rPr>
          <w:rFonts w:ascii="gobCL" w:eastAsia="gobCL" w:hAnsi="gobCL" w:cs="gobCL"/>
        </w:rPr>
        <w:t xml:space="preserve"> 232425300, 23242505, 23242507, o bien, o ingresando a www.sercotec.cl. </w:t>
      </w:r>
    </w:p>
    <w:p w14:paraId="7025EFDE" w14:textId="77777777" w:rsidR="008373E4" w:rsidRDefault="008373E4">
      <w:pPr>
        <w:spacing w:before="240" w:after="240" w:line="240" w:lineRule="auto"/>
        <w:jc w:val="both"/>
        <w:rPr>
          <w:rFonts w:ascii="gobCL" w:eastAsia="gobCL" w:hAnsi="gobCL" w:cs="gobCL"/>
          <w:b/>
        </w:rPr>
      </w:pPr>
    </w:p>
    <w:p w14:paraId="52BF38DC" w14:textId="6B13C2D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w:t>
      </w:r>
      <w:r w:rsidRPr="00CA75E0">
        <w:rPr>
          <w:rFonts w:ascii="gobCL" w:eastAsia="gobCL" w:hAnsi="gobCL" w:cs="gobCL"/>
        </w:rPr>
        <w:lastRenderedPageBreak/>
        <w:t>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7085DD0E"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lastRenderedPageBreak/>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2416D2">
        <w:rPr>
          <w:rFonts w:ascii="gobCL" w:eastAsia="gobCL" w:hAnsi="gobCL" w:cs="gobCL"/>
          <w:b/>
        </w:rPr>
        <w:t>222</w:t>
      </w:r>
      <w:r w:rsidR="00E40892">
        <w:rPr>
          <w:rFonts w:ascii="gobCL" w:eastAsia="gobCL" w:hAnsi="gobCL" w:cs="gobCL"/>
          <w:b/>
        </w:rPr>
        <w:t xml:space="preserve"> </w:t>
      </w:r>
      <w:r w:rsidR="00224438">
        <w:rPr>
          <w:rFonts w:ascii="gobCL" w:eastAsia="gobCL" w:hAnsi="gobCL" w:cs="gobCL"/>
          <w:b/>
        </w:rPr>
        <w:t>(</w:t>
      </w:r>
      <w:r w:rsidR="001B2B36">
        <w:rPr>
          <w:rFonts w:ascii="gobCL" w:eastAsia="gobCL" w:hAnsi="gobCL" w:cs="gobCL"/>
          <w:b/>
        </w:rPr>
        <w:t xml:space="preserve">doscientos </w:t>
      </w:r>
      <w:r w:rsidR="002416D2">
        <w:rPr>
          <w:rFonts w:ascii="gobCL" w:eastAsia="gobCL" w:hAnsi="gobCL" w:cs="gobCL"/>
          <w:b/>
        </w:rPr>
        <w:t>veintidós</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w:t>
      </w:r>
      <w:r w:rsidRPr="00CA75E0">
        <w:rPr>
          <w:rFonts w:ascii="gobCL" w:eastAsia="gobCL" w:hAnsi="gobCL" w:cs="gobCL"/>
        </w:rPr>
        <w:lastRenderedPageBreak/>
        <w:t xml:space="preserve">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3"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xml:space="preserve">: Un profesional designado por el AOS acompaña (presencial o virtualmente) al beneficiario/a y, en conjunto, proceden a realizar las compras correspondientes. El beneficiario/a deberá financiar los impuestos asociados a la/s </w:t>
      </w:r>
      <w:r w:rsidRPr="00CA75E0">
        <w:rPr>
          <w:rFonts w:ascii="gobCL" w:eastAsia="gobCL" w:hAnsi="gobCL" w:cs="gobCL"/>
          <w:color w:val="000000"/>
        </w:rPr>
        <w:lastRenderedPageBreak/>
        <w:t>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7A7F3C">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lastRenderedPageBreak/>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3D3FA2">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3D3FA2">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602EFAEC"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D754CC">
              <w:rPr>
                <w:rFonts w:ascii="gobCL" w:eastAsia="gobCL" w:hAnsi="gobCL" w:cs="gobCL"/>
              </w:rPr>
              <w:t>e inferiores o iguales a 1</w:t>
            </w:r>
            <w:r w:rsidR="004A7235">
              <w:rPr>
                <w:rFonts w:ascii="gobCL" w:eastAsia="gobCL" w:hAnsi="gobCL" w:cs="gobCL"/>
              </w:rPr>
              <w:t>5.0</w:t>
            </w:r>
            <w:r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4"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55AE95B"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D754CC">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6068A901" w14:textId="0488F7AF" w:rsidR="007A7F3C" w:rsidRPr="007A7F3C" w:rsidRDefault="007A7F3C" w:rsidP="007A7F3C">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rPr>
            </w:pPr>
            <w:r w:rsidRPr="007A7F3C">
              <w:rPr>
                <w:rFonts w:ascii="gobCL" w:eastAsia="gobCL" w:hAnsi="gobCL" w:cs="gobCL"/>
              </w:rPr>
              <w:t>Registro Nacional de Prestadores de Servicios Turísticos de SERNATUR (información provista por dicho servicio al 2 de julio de 2020).</w:t>
            </w:r>
          </w:p>
          <w:p w14:paraId="2A287F0E" w14:textId="34B73553" w:rsidR="007A7F3C" w:rsidRPr="007A7F3C" w:rsidRDefault="007A7F3C" w:rsidP="007A7F3C">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color w:val="000000"/>
              </w:rPr>
            </w:pPr>
            <w:r w:rsidRPr="007A7F3C">
              <w:rPr>
                <w:rFonts w:ascii="gobCL" w:eastAsia="gobCL" w:hAnsi="gobCL" w:cs="gobCL"/>
              </w:rPr>
              <w:t>Carpeta</w:t>
            </w:r>
            <w:r w:rsidRPr="007A7F3C">
              <w:rPr>
                <w:rFonts w:ascii="gobCL" w:eastAsia="gobCL" w:hAnsi="gobCL" w:cs="gobCL"/>
                <w:color w:val="000000"/>
              </w:rPr>
              <w:t xml:space="preserve"> Tributaria Electrónica completa para Solicitar Créditos disponible en </w:t>
            </w:r>
            <w:hyperlink r:id="rId16" w:history="1">
              <w:r w:rsidRPr="007A7F3C">
                <w:rPr>
                  <w:rStyle w:val="Hipervnculo"/>
                  <w:rFonts w:ascii="gobCL" w:eastAsia="gobCL" w:hAnsi="gobCL" w:cs="gobCL"/>
                </w:rPr>
                <w:t>https://zeus.sii.cl/dii_doc/carpeta_tributaria/html/index.htm</w:t>
              </w:r>
            </w:hyperlink>
            <w:r w:rsidRPr="007A7F3C">
              <w:rPr>
                <w:rFonts w:ascii="gobCL" w:eastAsia="gobCL" w:hAnsi="gobCL" w:cs="gobCL"/>
                <w:color w:val="000000"/>
              </w:rPr>
              <w:t xml:space="preserve"> </w:t>
            </w:r>
          </w:p>
          <w:p w14:paraId="637E1F0B" w14:textId="30FFCD03" w:rsidR="0031401B" w:rsidRPr="00CA75E0" w:rsidRDefault="0031401B" w:rsidP="0031401B">
            <w:pPr>
              <w:pBdr>
                <w:top w:val="nil"/>
                <w:left w:val="nil"/>
                <w:bottom w:val="nil"/>
                <w:right w:val="nil"/>
                <w:between w:val="nil"/>
              </w:pBdr>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3D3FA2">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D754CC" w:rsidRPr="00CA75E0" w14:paraId="2BB49133" w14:textId="77777777">
        <w:tc>
          <w:tcPr>
            <w:tcW w:w="4531" w:type="dxa"/>
            <w:tcBorders>
              <w:top w:val="single" w:sz="4" w:space="0" w:color="000000"/>
              <w:left w:val="single" w:sz="4" w:space="0" w:color="000000"/>
              <w:bottom w:val="single" w:sz="4" w:space="0" w:color="000000"/>
              <w:right w:val="single" w:sz="4" w:space="0" w:color="000000"/>
            </w:tcBorders>
          </w:tcPr>
          <w:p w14:paraId="59A1D250" w14:textId="7D9DA27D" w:rsidR="00D754CC" w:rsidRPr="0031401B" w:rsidRDefault="00D754CC" w:rsidP="001515EE">
            <w:pPr>
              <w:ind w:left="25"/>
              <w:jc w:val="both"/>
              <w:rPr>
                <w:rFonts w:ascii="gobCL" w:eastAsia="gobCL" w:hAnsi="gobCL" w:cs="gobCL"/>
              </w:rPr>
            </w:pPr>
            <w:r w:rsidRPr="00D754CC">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C4FFE38" w14:textId="77777777" w:rsidR="00D754CC" w:rsidRPr="00D754CC" w:rsidRDefault="00D754CC" w:rsidP="00D754CC">
            <w:pPr>
              <w:ind w:left="25"/>
              <w:jc w:val="both"/>
              <w:rPr>
                <w:rFonts w:ascii="gobCL" w:eastAsia="gobCL" w:hAnsi="gobCL" w:cs="gobCL"/>
              </w:rPr>
            </w:pPr>
            <w:r w:rsidRPr="00D754CC">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53D89F28" w14:textId="77777777" w:rsidR="00D754CC" w:rsidRPr="00D754CC" w:rsidRDefault="00D754CC" w:rsidP="00D754CC">
            <w:pPr>
              <w:ind w:left="25"/>
              <w:jc w:val="both"/>
              <w:rPr>
                <w:rFonts w:ascii="gobCL" w:eastAsia="gobCL" w:hAnsi="gobCL" w:cs="gobCL"/>
              </w:rPr>
            </w:pPr>
            <w:r w:rsidRPr="00D754CC">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385EA244" w14:textId="77777777" w:rsidR="00D754CC" w:rsidRPr="00D754CC" w:rsidRDefault="00D754CC" w:rsidP="00D754CC">
            <w:pPr>
              <w:ind w:left="25"/>
              <w:jc w:val="both"/>
              <w:rPr>
                <w:rFonts w:ascii="gobCL" w:eastAsia="gobCL" w:hAnsi="gobCL" w:cs="gobCL"/>
              </w:rPr>
            </w:pPr>
            <w:r w:rsidRPr="00D754CC">
              <w:rPr>
                <w:rFonts w:ascii="gobCL" w:eastAsia="gobCL" w:hAnsi="gobCL" w:cs="gobCL"/>
              </w:rPr>
              <w:t>En caso de ser comodatario/a: Copia Contrato de Comodato que acredite su actual condición de comodatario.</w:t>
            </w:r>
          </w:p>
          <w:p w14:paraId="2183D14A" w14:textId="77777777" w:rsidR="00D754CC" w:rsidRPr="00D754CC" w:rsidRDefault="00D754CC" w:rsidP="00D754CC">
            <w:pPr>
              <w:ind w:left="25"/>
              <w:jc w:val="both"/>
              <w:rPr>
                <w:rFonts w:ascii="gobCL" w:eastAsia="gobCL" w:hAnsi="gobCL" w:cs="gobCL"/>
              </w:rPr>
            </w:pPr>
            <w:r w:rsidRPr="00D754CC">
              <w:rPr>
                <w:rFonts w:ascii="gobCL" w:eastAsia="gobCL" w:hAnsi="gobCL" w:cs="gobCL"/>
              </w:rPr>
              <w:t>En caso de ser arrendatario/a: Copia Contrato de arriendo que acredite su actual condición de arrendatario.</w:t>
            </w:r>
          </w:p>
          <w:p w14:paraId="5900BB67" w14:textId="77777777" w:rsidR="00D754CC" w:rsidRPr="00D754CC" w:rsidRDefault="00D754CC" w:rsidP="00D754CC">
            <w:pPr>
              <w:ind w:left="25"/>
              <w:jc w:val="both"/>
              <w:rPr>
                <w:rFonts w:ascii="gobCL" w:eastAsia="gobCL" w:hAnsi="gobCL" w:cs="gobCL"/>
              </w:rPr>
            </w:pPr>
            <w:r w:rsidRPr="00D754CC">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300E3283" w14:textId="0C224F1D" w:rsidR="00D754CC" w:rsidRPr="00B70DAC" w:rsidRDefault="00D754CC" w:rsidP="00D754CC">
            <w:pPr>
              <w:ind w:left="25"/>
              <w:jc w:val="both"/>
              <w:rPr>
                <w:rFonts w:ascii="gobCL" w:eastAsia="gobCL" w:hAnsi="gobCL" w:cs="gobCL"/>
              </w:rPr>
            </w:pPr>
            <w:r w:rsidRPr="00D754CC">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D754CC">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6D8FA" w14:textId="77777777" w:rsidR="004B7366" w:rsidRDefault="004B7366">
      <w:pPr>
        <w:spacing w:after="0" w:line="240" w:lineRule="auto"/>
      </w:pPr>
      <w:r>
        <w:separator/>
      </w:r>
    </w:p>
  </w:endnote>
  <w:endnote w:type="continuationSeparator" w:id="0">
    <w:p w14:paraId="1DACD999" w14:textId="77777777" w:rsidR="004B7366" w:rsidRDefault="004B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76036F9" w:rsidR="003422A4" w:rsidRDefault="003422A4">
        <w:pPr>
          <w:pStyle w:val="Piedepgina"/>
          <w:jc w:val="right"/>
        </w:pPr>
        <w:r>
          <w:fldChar w:fldCharType="begin"/>
        </w:r>
        <w:r>
          <w:instrText>PAGE   \* MERGEFORMAT</w:instrText>
        </w:r>
        <w:r>
          <w:fldChar w:fldCharType="separate"/>
        </w:r>
        <w:r w:rsidR="00D754CC" w:rsidRPr="00D754CC">
          <w:rPr>
            <w:noProof/>
            <w:lang w:val="es-ES"/>
          </w:rPr>
          <w:t>24</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1A9D" w14:textId="77777777" w:rsidR="004B7366" w:rsidRDefault="004B7366">
      <w:pPr>
        <w:spacing w:after="0" w:line="240" w:lineRule="auto"/>
      </w:pPr>
      <w:r>
        <w:separator/>
      </w:r>
    </w:p>
  </w:footnote>
  <w:footnote w:type="continuationSeparator" w:id="0">
    <w:p w14:paraId="4CAE84B2" w14:textId="77777777" w:rsidR="004B7366" w:rsidRDefault="004B7366">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6EB8"/>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B0D1C"/>
    <w:rsid w:val="001B2B36"/>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27277"/>
    <w:rsid w:val="0023302B"/>
    <w:rsid w:val="0023590C"/>
    <w:rsid w:val="002416D2"/>
    <w:rsid w:val="00242AFC"/>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C1B2F"/>
    <w:rsid w:val="003C5175"/>
    <w:rsid w:val="003D1B89"/>
    <w:rsid w:val="003D3FA2"/>
    <w:rsid w:val="003F09A2"/>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B7366"/>
    <w:rsid w:val="004D2530"/>
    <w:rsid w:val="004D3DF8"/>
    <w:rsid w:val="004D63D0"/>
    <w:rsid w:val="004E3DC5"/>
    <w:rsid w:val="004E475F"/>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1870"/>
    <w:rsid w:val="00774346"/>
    <w:rsid w:val="0078171F"/>
    <w:rsid w:val="0079369A"/>
    <w:rsid w:val="0079386F"/>
    <w:rsid w:val="00793C20"/>
    <w:rsid w:val="00796420"/>
    <w:rsid w:val="007A7D7C"/>
    <w:rsid w:val="007A7F3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373E4"/>
    <w:rsid w:val="008427DF"/>
    <w:rsid w:val="00851CB6"/>
    <w:rsid w:val="00855E79"/>
    <w:rsid w:val="00855F8A"/>
    <w:rsid w:val="00861EA5"/>
    <w:rsid w:val="008636DA"/>
    <w:rsid w:val="0086418B"/>
    <w:rsid w:val="00864BBD"/>
    <w:rsid w:val="008659E2"/>
    <w:rsid w:val="008669FB"/>
    <w:rsid w:val="00870369"/>
    <w:rsid w:val="008775F8"/>
    <w:rsid w:val="00880B27"/>
    <w:rsid w:val="0088151A"/>
    <w:rsid w:val="008826D2"/>
    <w:rsid w:val="008879E4"/>
    <w:rsid w:val="00892030"/>
    <w:rsid w:val="00896D24"/>
    <w:rsid w:val="008A116D"/>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A61B6"/>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63E31"/>
    <w:rsid w:val="00D74651"/>
    <w:rsid w:val="00D754CC"/>
    <w:rsid w:val="00DA03FC"/>
    <w:rsid w:val="00DA0547"/>
    <w:rsid w:val="00DA08EE"/>
    <w:rsid w:val="00DA17F6"/>
    <w:rsid w:val="00DB3D0E"/>
    <w:rsid w:val="00DB6BAB"/>
    <w:rsid w:val="00DC7A8B"/>
    <w:rsid w:val="00DD71EB"/>
    <w:rsid w:val="00DE1EAB"/>
    <w:rsid w:val="00E00A58"/>
    <w:rsid w:val="00E13FA1"/>
    <w:rsid w:val="00E14A09"/>
    <w:rsid w:val="00E24946"/>
    <w:rsid w:val="00E2562A"/>
    <w:rsid w:val="00E26AF4"/>
    <w:rsid w:val="00E270DD"/>
    <w:rsid w:val="00E3098F"/>
    <w:rsid w:val="00E323D1"/>
    <w:rsid w:val="00E3287F"/>
    <w:rsid w:val="00E32D6A"/>
    <w:rsid w:val="00E40892"/>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04AE"/>
    <w:rsid w:val="00F44599"/>
    <w:rsid w:val="00F555B2"/>
    <w:rsid w:val="00F72D9D"/>
    <w:rsid w:val="00F80F14"/>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gistro.sernatur.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CDE291-0ABF-40A1-8E32-8DDD7548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31</Pages>
  <Words>9474</Words>
  <Characters>52110</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48</cp:revision>
  <cp:lastPrinted>2020-05-23T14:01:00Z</cp:lastPrinted>
  <dcterms:created xsi:type="dcterms:W3CDTF">2020-07-08T00:04:00Z</dcterms:created>
  <dcterms:modified xsi:type="dcterms:W3CDTF">2020-07-09T03:22:00Z</dcterms:modified>
</cp:coreProperties>
</file>