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7A01443A"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20344">
        <w:rPr>
          <w:rFonts w:ascii="gobCL" w:eastAsia="gobCL" w:hAnsi="gobCL" w:cs="gobCL"/>
          <w:b/>
          <w:color w:val="000000"/>
          <w:sz w:val="36"/>
          <w:szCs w:val="36"/>
        </w:rPr>
        <w:t>Magallanes y</w:t>
      </w:r>
      <w:r w:rsidR="001C5A90">
        <w:rPr>
          <w:rFonts w:ascii="gobCL" w:eastAsia="gobCL" w:hAnsi="gobCL" w:cs="gobCL"/>
          <w:b/>
          <w:color w:val="000000"/>
          <w:sz w:val="36"/>
          <w:szCs w:val="36"/>
        </w:rPr>
        <w:t xml:space="preserve"> Antártica chilena</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5C1348C4"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D05975">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D05975">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437121E4" w:rsidR="002862B1" w:rsidRPr="00CA75E0" w:rsidRDefault="001C5A90">
      <w:pPr>
        <w:spacing w:before="240" w:after="240" w:line="240" w:lineRule="auto"/>
        <w:jc w:val="both"/>
        <w:rPr>
          <w:rFonts w:ascii="gobCL" w:eastAsia="gobCL" w:hAnsi="gobCL" w:cs="gobCL"/>
        </w:rPr>
      </w:pPr>
      <w:r w:rsidRPr="001C5A90">
        <w:rPr>
          <w:rFonts w:ascii="gobCL" w:eastAsia="gobCL" w:hAnsi="gobCL" w:cs="gobCL"/>
        </w:rPr>
        <w:t xml:space="preserve">Para que las personas interesadas realicen consultas, </w:t>
      </w:r>
      <w:proofErr w:type="spellStart"/>
      <w:r w:rsidRPr="001C5A90">
        <w:rPr>
          <w:rFonts w:ascii="gobCL" w:eastAsia="gobCL" w:hAnsi="gobCL" w:cs="gobCL"/>
        </w:rPr>
        <w:t>Sercotec</w:t>
      </w:r>
      <w:proofErr w:type="spellEnd"/>
      <w:r w:rsidRPr="001C5A90">
        <w:rPr>
          <w:rFonts w:ascii="gobCL" w:eastAsia="gobCL" w:hAnsi="gobCL" w:cs="gobCL"/>
        </w:rPr>
        <w:t xml:space="preserve"> dispondrá un AOS. Para esta convocatoria, el Agente asignado es: Fundación para el Desarrollo de la XII Región de Magallanes, FIDE XII, celular: +56 9 79823086, +56 9 99312589, +56 9 74996688, correo ele</w:t>
      </w:r>
      <w:r>
        <w:rPr>
          <w:rFonts w:ascii="gobCL" w:eastAsia="gobCL" w:hAnsi="gobCL" w:cs="gobCL"/>
        </w:rPr>
        <w:t xml:space="preserve">ctrónico: </w:t>
      </w:r>
      <w:hyperlink r:id="rId13" w:history="1">
        <w:r w:rsidRPr="00391E26">
          <w:rPr>
            <w:rStyle w:val="Hipervnculo"/>
            <w:rFonts w:ascii="gobCL" w:eastAsia="gobCL" w:hAnsi="gobCL" w:cs="gobCL"/>
          </w:rPr>
          <w:t>consultas@fidexii.cl</w:t>
        </w:r>
      </w:hyperlink>
      <w:r>
        <w:rPr>
          <w:rFonts w:ascii="gobCL" w:eastAsia="gobCL" w:hAnsi="gobCL" w:cs="gobCL"/>
        </w:rPr>
        <w:t xml:space="preserve">. </w:t>
      </w:r>
      <w:r w:rsidRPr="001C5A90">
        <w:rPr>
          <w:rFonts w:ascii="gobCL" w:eastAsia="gobCL" w:hAnsi="gobCL" w:cs="gobCL"/>
        </w:rPr>
        <w:t xml:space="preserve">Además, puede pedir orientación al Punto </w:t>
      </w:r>
      <w:proofErr w:type="spellStart"/>
      <w:r w:rsidRPr="001C5A90">
        <w:rPr>
          <w:rFonts w:ascii="gobCL" w:eastAsia="gobCL" w:hAnsi="gobCL" w:cs="gobCL"/>
        </w:rPr>
        <w:t>Mipe</w:t>
      </w:r>
      <w:proofErr w:type="spellEnd"/>
      <w:r w:rsidRPr="001C5A90">
        <w:rPr>
          <w:rFonts w:ascii="gobCL" w:eastAsia="gobCL" w:hAnsi="gobCL" w:cs="gobCL"/>
        </w:rPr>
        <w:t xml:space="preserve">, teléfono: 61 2244570, celular: +56 9 34327718, </w:t>
      </w:r>
      <w:proofErr w:type="spellStart"/>
      <w:r w:rsidRPr="001C5A90">
        <w:rPr>
          <w:rFonts w:ascii="gobCL" w:eastAsia="gobCL" w:hAnsi="gobCL" w:cs="gobCL"/>
        </w:rPr>
        <w:t>call</w:t>
      </w:r>
      <w:proofErr w:type="spellEnd"/>
      <w:r w:rsidRPr="001C5A90">
        <w:rPr>
          <w:rFonts w:ascii="gobCL" w:eastAsia="gobCL" w:hAnsi="gobCL" w:cs="gobCL"/>
        </w:rPr>
        <w:t xml:space="preserve"> center: 232425000 y posteriormente digitar 12, correo electrónico: </w:t>
      </w:r>
      <w:hyperlink r:id="rId14" w:history="1">
        <w:r w:rsidRPr="00391E26">
          <w:rPr>
            <w:rStyle w:val="Hipervnculo"/>
            <w:rFonts w:ascii="gobCL" w:eastAsia="gobCL" w:hAnsi="gobCL" w:cs="gobCL"/>
          </w:rPr>
          <w:t>mipepuntaarenas@sercotec.cl</w:t>
        </w:r>
      </w:hyperlink>
      <w:r>
        <w:rPr>
          <w:rFonts w:ascii="gobCL" w:eastAsia="gobCL" w:hAnsi="gobCL" w:cs="gobCL"/>
        </w:rPr>
        <w:t xml:space="preserve">, </w:t>
      </w:r>
      <w:r w:rsidRPr="001C5A90">
        <w:rPr>
          <w:rFonts w:ascii="gobCL" w:eastAsia="gobCL" w:hAnsi="gobCL" w:cs="gobCL"/>
        </w:rPr>
        <w:t xml:space="preserve"> o bien</w:t>
      </w:r>
      <w:r>
        <w:rPr>
          <w:rFonts w:ascii="gobCL" w:eastAsia="gobCL" w:hAnsi="gobCL" w:cs="gobCL"/>
        </w:rPr>
        <w:t>,</w:t>
      </w:r>
      <w:r w:rsidRPr="001C5A90">
        <w:rPr>
          <w:rFonts w:ascii="gobCL" w:eastAsia="gobCL" w:hAnsi="gobCL" w:cs="gobCL"/>
        </w:rPr>
        <w:t xml:space="preserve"> ingresando a </w:t>
      </w:r>
      <w:hyperlink r:id="rId15" w:history="1">
        <w:r w:rsidR="00261BC9" w:rsidRPr="00391E26">
          <w:rPr>
            <w:rStyle w:val="Hipervnculo"/>
            <w:rFonts w:ascii="gobCL" w:eastAsia="gobCL" w:hAnsi="gobCL" w:cs="gobCL"/>
          </w:rPr>
          <w:t>www.sercotec.cl</w:t>
        </w:r>
      </w:hyperlink>
      <w:r w:rsidRPr="001C5A90">
        <w:rPr>
          <w:rFonts w:ascii="gobCL" w:eastAsia="gobCL" w:hAnsi="gobCL" w:cs="gobCL"/>
        </w:rPr>
        <w:t>.</w:t>
      </w:r>
      <w:r w:rsidR="00261BC9">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36D9" w14:textId="77777777" w:rsidR="003308E9" w:rsidRDefault="003308E9">
      <w:pPr>
        <w:spacing w:after="0" w:line="240" w:lineRule="auto"/>
      </w:pPr>
      <w:r>
        <w:separator/>
      </w:r>
    </w:p>
  </w:endnote>
  <w:endnote w:type="continuationSeparator" w:id="0">
    <w:p w14:paraId="4C70488E" w14:textId="77777777" w:rsidR="003308E9" w:rsidRDefault="0033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5559812" w:rsidR="00404BF8" w:rsidRDefault="00404BF8">
        <w:pPr>
          <w:pStyle w:val="Piedepgina"/>
          <w:jc w:val="right"/>
        </w:pPr>
        <w:r>
          <w:fldChar w:fldCharType="begin"/>
        </w:r>
        <w:r>
          <w:instrText>PAGE   \* MERGEFORMAT</w:instrText>
        </w:r>
        <w:r>
          <w:fldChar w:fldCharType="separate"/>
        </w:r>
        <w:r w:rsidR="00D05975" w:rsidRPr="00D05975">
          <w:rPr>
            <w:noProof/>
            <w:lang w:val="es-ES"/>
          </w:rPr>
          <w:t>21</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A8B0C" w14:textId="77777777" w:rsidR="003308E9" w:rsidRDefault="003308E9">
      <w:pPr>
        <w:spacing w:after="0" w:line="240" w:lineRule="auto"/>
      </w:pPr>
      <w:r>
        <w:separator/>
      </w:r>
    </w:p>
  </w:footnote>
  <w:footnote w:type="continuationSeparator" w:id="0">
    <w:p w14:paraId="6998CA1D" w14:textId="77777777" w:rsidR="003308E9" w:rsidRDefault="003308E9">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69A0"/>
    <w:rsid w:val="000D2830"/>
    <w:rsid w:val="000D29D9"/>
    <w:rsid w:val="000D440D"/>
    <w:rsid w:val="000F1D84"/>
    <w:rsid w:val="00130170"/>
    <w:rsid w:val="001515EE"/>
    <w:rsid w:val="00153652"/>
    <w:rsid w:val="00192985"/>
    <w:rsid w:val="001C0F51"/>
    <w:rsid w:val="001C2B38"/>
    <w:rsid w:val="001C5A90"/>
    <w:rsid w:val="001D4409"/>
    <w:rsid w:val="001D4C81"/>
    <w:rsid w:val="001E1B28"/>
    <w:rsid w:val="00202496"/>
    <w:rsid w:val="002123C5"/>
    <w:rsid w:val="0021395F"/>
    <w:rsid w:val="00224DF9"/>
    <w:rsid w:val="0023302B"/>
    <w:rsid w:val="00261BC9"/>
    <w:rsid w:val="00271A39"/>
    <w:rsid w:val="00276634"/>
    <w:rsid w:val="002852A3"/>
    <w:rsid w:val="002862B1"/>
    <w:rsid w:val="0029292C"/>
    <w:rsid w:val="00293B07"/>
    <w:rsid w:val="00294E9C"/>
    <w:rsid w:val="002B2B4A"/>
    <w:rsid w:val="002C18CA"/>
    <w:rsid w:val="002D4AED"/>
    <w:rsid w:val="002E187D"/>
    <w:rsid w:val="002F131E"/>
    <w:rsid w:val="00304E37"/>
    <w:rsid w:val="00305F3A"/>
    <w:rsid w:val="00310E3A"/>
    <w:rsid w:val="003200FF"/>
    <w:rsid w:val="003308E9"/>
    <w:rsid w:val="003458C3"/>
    <w:rsid w:val="00352847"/>
    <w:rsid w:val="00355380"/>
    <w:rsid w:val="00361D64"/>
    <w:rsid w:val="00372DF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06EBD"/>
    <w:rsid w:val="005121F1"/>
    <w:rsid w:val="00540817"/>
    <w:rsid w:val="00554088"/>
    <w:rsid w:val="00563C01"/>
    <w:rsid w:val="0056662E"/>
    <w:rsid w:val="00567495"/>
    <w:rsid w:val="005751F3"/>
    <w:rsid w:val="005A6BC4"/>
    <w:rsid w:val="005F7BCA"/>
    <w:rsid w:val="006355D9"/>
    <w:rsid w:val="0063721B"/>
    <w:rsid w:val="006519BB"/>
    <w:rsid w:val="006577FE"/>
    <w:rsid w:val="00665435"/>
    <w:rsid w:val="00673820"/>
    <w:rsid w:val="006858D4"/>
    <w:rsid w:val="00693CE7"/>
    <w:rsid w:val="0069417F"/>
    <w:rsid w:val="006A1269"/>
    <w:rsid w:val="006B0FBF"/>
    <w:rsid w:val="00700A45"/>
    <w:rsid w:val="007027DC"/>
    <w:rsid w:val="00720EBD"/>
    <w:rsid w:val="007268C4"/>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0344"/>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765E3"/>
    <w:rsid w:val="00981699"/>
    <w:rsid w:val="00982486"/>
    <w:rsid w:val="00987210"/>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4C39"/>
    <w:rsid w:val="00B36B6A"/>
    <w:rsid w:val="00B41FFD"/>
    <w:rsid w:val="00B43377"/>
    <w:rsid w:val="00B447A0"/>
    <w:rsid w:val="00B56B7F"/>
    <w:rsid w:val="00B70DAC"/>
    <w:rsid w:val="00B714AE"/>
    <w:rsid w:val="00B83A87"/>
    <w:rsid w:val="00B868D2"/>
    <w:rsid w:val="00B967B4"/>
    <w:rsid w:val="00BA7898"/>
    <w:rsid w:val="00BC1DFA"/>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05975"/>
    <w:rsid w:val="00D133B3"/>
    <w:rsid w:val="00D2681E"/>
    <w:rsid w:val="00D41AC0"/>
    <w:rsid w:val="00D55952"/>
    <w:rsid w:val="00D74651"/>
    <w:rsid w:val="00DA03FC"/>
    <w:rsid w:val="00DA08EE"/>
    <w:rsid w:val="00DB18B5"/>
    <w:rsid w:val="00DC7A8B"/>
    <w:rsid w:val="00DE1EAB"/>
    <w:rsid w:val="00E26AF4"/>
    <w:rsid w:val="00E3287F"/>
    <w:rsid w:val="00E32D6A"/>
    <w:rsid w:val="00E44C7A"/>
    <w:rsid w:val="00E5375D"/>
    <w:rsid w:val="00E62357"/>
    <w:rsid w:val="00E738D6"/>
    <w:rsid w:val="00EA1445"/>
    <w:rsid w:val="00EA79C8"/>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sultas@fidexii.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667C1D-8E2D-4EDB-A488-53EFC564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7403</Words>
  <Characters>40717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52</cp:revision>
  <cp:lastPrinted>2020-05-23T17:07:00Z</cp:lastPrinted>
  <dcterms:created xsi:type="dcterms:W3CDTF">2020-05-23T13:37:00Z</dcterms:created>
  <dcterms:modified xsi:type="dcterms:W3CDTF">2020-05-25T23:18:00Z</dcterms:modified>
</cp:coreProperties>
</file>