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Default="007C48F8">
      <w:pPr>
        <w:ind w:left="2880"/>
        <w:rPr>
          <w:rFonts w:ascii="gobCL" w:eastAsia="gobCL" w:hAnsi="gobCL" w:cs="gobCL"/>
          <w:b/>
          <w:sz w:val="24"/>
          <w:szCs w:val="24"/>
        </w:rPr>
      </w:pPr>
      <w:bookmarkStart w:id="0" w:name="_heading=h.gjdgxs" w:colFirst="0" w:colLast="0"/>
      <w:bookmarkEnd w:id="0"/>
      <w:r>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Default="002862B1">
      <w:pPr>
        <w:ind w:left="426"/>
        <w:rPr>
          <w:rFonts w:ascii="gobCL" w:eastAsia="gobCL" w:hAnsi="gobCL" w:cs="gobCL"/>
          <w:b/>
          <w:sz w:val="24"/>
          <w:szCs w:val="24"/>
        </w:rPr>
      </w:pPr>
    </w:p>
    <w:p w14:paraId="66DDD636" w14:textId="77777777" w:rsidR="002862B1" w:rsidRDefault="002862B1">
      <w:pPr>
        <w:ind w:left="2880"/>
        <w:rPr>
          <w:rFonts w:ascii="gobCL" w:eastAsia="gobCL" w:hAnsi="gobCL" w:cs="gobCL"/>
          <w:b/>
          <w:sz w:val="24"/>
          <w:szCs w:val="24"/>
        </w:rPr>
      </w:pPr>
    </w:p>
    <w:p w14:paraId="676FB4A0" w14:textId="77777777" w:rsidR="002862B1" w:rsidRDefault="002862B1">
      <w:pPr>
        <w:ind w:left="2880"/>
        <w:rPr>
          <w:rFonts w:ascii="gobCL" w:eastAsia="gobCL" w:hAnsi="gobCL" w:cs="gobCL"/>
          <w:b/>
        </w:rPr>
      </w:pPr>
    </w:p>
    <w:p w14:paraId="43714441" w14:textId="77777777" w:rsidR="002862B1" w:rsidRDefault="002862B1">
      <w:pPr>
        <w:spacing w:before="240" w:after="240"/>
        <w:jc w:val="center"/>
        <w:rPr>
          <w:rFonts w:ascii="gobCL" w:eastAsia="gobCL" w:hAnsi="gobCL" w:cs="gobCL"/>
          <w:b/>
          <w:u w:val="single"/>
        </w:rPr>
      </w:pPr>
    </w:p>
    <w:p w14:paraId="6B543B31" w14:textId="77777777" w:rsidR="002862B1" w:rsidRDefault="002862B1">
      <w:pPr>
        <w:spacing w:before="240" w:after="240"/>
        <w:jc w:val="center"/>
        <w:rPr>
          <w:rFonts w:ascii="gobCL" w:eastAsia="gobCL" w:hAnsi="gobCL" w:cs="gobCL"/>
          <w:b/>
          <w:u w:val="single"/>
        </w:rPr>
      </w:pPr>
    </w:p>
    <w:p w14:paraId="196FAEE1" w14:textId="77777777" w:rsidR="002862B1" w:rsidRDefault="002862B1">
      <w:pPr>
        <w:spacing w:before="240" w:after="240"/>
        <w:jc w:val="center"/>
        <w:rPr>
          <w:rFonts w:ascii="gobCL" w:eastAsia="gobCL" w:hAnsi="gobCL" w:cs="gobCL"/>
          <w:b/>
          <w:u w:val="single"/>
        </w:rPr>
      </w:pPr>
    </w:p>
    <w:p w14:paraId="5454746D" w14:textId="73ED0323" w:rsidR="00C834C3" w:rsidRDefault="007C48F8">
      <w:pPr>
        <w:pBdr>
          <w:top w:val="nil"/>
          <w:left w:val="nil"/>
          <w:bottom w:val="nil"/>
          <w:right w:val="nil"/>
          <w:between w:val="nil"/>
        </w:pBdr>
        <w:spacing w:after="0" w:line="240" w:lineRule="auto"/>
        <w:jc w:val="center"/>
        <w:rPr>
          <w:rFonts w:ascii="gobCL" w:eastAsia="gobCL" w:hAnsi="gobCL" w:cs="gobCL"/>
          <w:b/>
          <w:sz w:val="36"/>
          <w:szCs w:val="36"/>
        </w:rPr>
      </w:pPr>
      <w:r>
        <w:rPr>
          <w:rFonts w:ascii="gobCL" w:eastAsia="gobCL" w:hAnsi="gobCL" w:cs="gobCL"/>
          <w:b/>
          <w:color w:val="000000"/>
          <w:sz w:val="36"/>
          <w:szCs w:val="36"/>
        </w:rPr>
        <w:t>BASES DE CONVOCATORIA</w:t>
      </w:r>
      <w:r w:rsidR="00C834C3">
        <w:rPr>
          <w:rFonts w:ascii="gobCL" w:eastAsia="gobCL" w:hAnsi="gobCL" w:cs="gobCL"/>
          <w:b/>
          <w:color w:val="000000"/>
          <w:sz w:val="36"/>
          <w:szCs w:val="36"/>
        </w:rPr>
        <w:t xml:space="preserve"> </w:t>
      </w:r>
      <w:r>
        <w:rPr>
          <w:rFonts w:ascii="gobCL" w:eastAsia="gobCL" w:hAnsi="gobCL" w:cs="gobCL"/>
          <w:b/>
          <w:color w:val="000000"/>
          <w:sz w:val="36"/>
          <w:szCs w:val="36"/>
        </w:rPr>
        <w:t xml:space="preserve">PROGRAMA ESPECIAL </w:t>
      </w:r>
      <w:r w:rsidR="00C834C3">
        <w:rPr>
          <w:rFonts w:ascii="gobCL" w:eastAsia="gobCL" w:hAnsi="gobCL" w:cs="gobCL"/>
          <w:b/>
          <w:sz w:val="36"/>
          <w:szCs w:val="36"/>
        </w:rPr>
        <w:t>RENACE AYSÉN</w:t>
      </w:r>
    </w:p>
    <w:p w14:paraId="7048D16D" w14:textId="4A7DB9F9" w:rsidR="00C834C3" w:rsidRDefault="00C834C3">
      <w:pPr>
        <w:pBdr>
          <w:top w:val="nil"/>
          <w:left w:val="nil"/>
          <w:bottom w:val="nil"/>
          <w:right w:val="nil"/>
          <w:between w:val="nil"/>
        </w:pBdr>
        <w:spacing w:after="0" w:line="240" w:lineRule="auto"/>
        <w:jc w:val="center"/>
        <w:rPr>
          <w:rFonts w:ascii="gobCL" w:eastAsia="gobCL" w:hAnsi="gobCL" w:cs="gobCL"/>
          <w:b/>
          <w:sz w:val="36"/>
          <w:szCs w:val="36"/>
        </w:rPr>
      </w:pPr>
      <w:r>
        <w:rPr>
          <w:rFonts w:ascii="gobCL" w:eastAsia="gobCL" w:hAnsi="gobCL" w:cs="gobCL"/>
          <w:b/>
          <w:sz w:val="36"/>
          <w:szCs w:val="36"/>
        </w:rPr>
        <w:t xml:space="preserve"> </w:t>
      </w:r>
    </w:p>
    <w:p w14:paraId="02F16F39" w14:textId="7A49952E" w:rsidR="002862B1" w:rsidRPr="006A4FB0" w:rsidRDefault="007C48F8">
      <w:pPr>
        <w:pBdr>
          <w:top w:val="nil"/>
          <w:left w:val="nil"/>
          <w:bottom w:val="nil"/>
          <w:right w:val="nil"/>
          <w:between w:val="nil"/>
        </w:pBdr>
        <w:spacing w:after="0" w:line="240" w:lineRule="auto"/>
        <w:jc w:val="center"/>
        <w:rPr>
          <w:rFonts w:ascii="gobCL" w:eastAsia="gobCL" w:hAnsi="gobCL" w:cs="gobCL"/>
          <w:b/>
          <w:sz w:val="28"/>
          <w:szCs w:val="36"/>
        </w:rPr>
      </w:pPr>
      <w:r w:rsidRPr="006A4FB0">
        <w:rPr>
          <w:rFonts w:ascii="gobCL" w:eastAsia="gobCL" w:hAnsi="gobCL" w:cs="gobCL"/>
          <w:b/>
          <w:sz w:val="28"/>
          <w:szCs w:val="36"/>
        </w:rPr>
        <w:t>SERCOTEC</w:t>
      </w:r>
      <w:r w:rsidR="00F7189B" w:rsidRPr="006A4FB0">
        <w:rPr>
          <w:rFonts w:ascii="gobCL" w:eastAsia="gobCL" w:hAnsi="gobCL" w:cs="gobCL"/>
          <w:b/>
          <w:sz w:val="28"/>
          <w:szCs w:val="36"/>
        </w:rPr>
        <w:t xml:space="preserve"> Y GOBIERNO REGIONAL DE AYSÉN</w:t>
      </w:r>
    </w:p>
    <w:p w14:paraId="034498E8" w14:textId="2431BDA9" w:rsidR="002862B1" w:rsidRDefault="009C1386">
      <w:pPr>
        <w:spacing w:before="240" w:after="240"/>
        <w:jc w:val="center"/>
        <w:rPr>
          <w:rFonts w:ascii="gobCL" w:eastAsia="gobCL" w:hAnsi="gobCL" w:cs="gobCL"/>
        </w:rPr>
      </w:pPr>
      <w:r>
        <w:rPr>
          <w:rFonts w:ascii="gobCL" w:eastAsia="gobCL" w:hAnsi="gobCL" w:cs="gobCL"/>
        </w:rPr>
        <w:t xml:space="preserve">Mayo </w:t>
      </w:r>
      <w:r w:rsidR="007C48F8">
        <w:rPr>
          <w:rFonts w:ascii="gobCL" w:eastAsia="gobCL" w:hAnsi="gobCL" w:cs="gobCL"/>
        </w:rPr>
        <w:t>de 2020</w:t>
      </w:r>
    </w:p>
    <w:p w14:paraId="79AA9C6D" w14:textId="77777777" w:rsidR="002862B1" w:rsidRDefault="002862B1">
      <w:pPr>
        <w:spacing w:before="240" w:after="240"/>
        <w:jc w:val="center"/>
        <w:rPr>
          <w:rFonts w:ascii="gobCL" w:eastAsia="gobCL" w:hAnsi="gobCL" w:cs="gobCL"/>
        </w:rPr>
      </w:pPr>
    </w:p>
    <w:p w14:paraId="213FEF84" w14:textId="77777777" w:rsidR="002862B1" w:rsidRDefault="002862B1">
      <w:pPr>
        <w:spacing w:before="240" w:after="240"/>
        <w:jc w:val="both"/>
        <w:rPr>
          <w:rFonts w:ascii="gobCL" w:eastAsia="gobCL" w:hAnsi="gobCL" w:cs="gobCL"/>
        </w:rPr>
      </w:pPr>
    </w:p>
    <w:p w14:paraId="2CD458C5" w14:textId="77777777" w:rsidR="002862B1" w:rsidRDefault="002862B1">
      <w:pPr>
        <w:spacing w:before="240" w:after="240"/>
        <w:jc w:val="both"/>
        <w:rPr>
          <w:rFonts w:ascii="gobCL" w:eastAsia="gobCL" w:hAnsi="gobCL" w:cs="gobCL"/>
        </w:rPr>
      </w:pPr>
    </w:p>
    <w:p w14:paraId="695E51C9" w14:textId="77777777" w:rsidR="002862B1" w:rsidRDefault="002862B1">
      <w:pPr>
        <w:spacing w:before="240" w:after="240"/>
        <w:jc w:val="both"/>
        <w:rPr>
          <w:rFonts w:ascii="gobCL" w:eastAsia="gobCL" w:hAnsi="gobCL" w:cs="gobCL"/>
        </w:rPr>
      </w:pPr>
    </w:p>
    <w:p w14:paraId="62746C27" w14:textId="77777777" w:rsidR="002862B1" w:rsidRDefault="002862B1">
      <w:pPr>
        <w:spacing w:before="240" w:after="240"/>
        <w:jc w:val="both"/>
        <w:rPr>
          <w:rFonts w:ascii="gobCL" w:eastAsia="gobCL" w:hAnsi="gobCL" w:cs="gobCL"/>
        </w:rPr>
      </w:pPr>
    </w:p>
    <w:p w14:paraId="2765EFBB" w14:textId="77777777" w:rsidR="002862B1" w:rsidRDefault="002862B1">
      <w:pPr>
        <w:spacing w:before="240" w:after="240"/>
        <w:jc w:val="both"/>
        <w:rPr>
          <w:rFonts w:ascii="gobCL" w:eastAsia="gobCL" w:hAnsi="gobCL" w:cs="gobCL"/>
        </w:rPr>
      </w:pPr>
    </w:p>
    <w:p w14:paraId="0CAAB16D" w14:textId="77777777" w:rsidR="002862B1" w:rsidRDefault="002862B1">
      <w:pPr>
        <w:spacing w:before="240" w:after="240"/>
        <w:jc w:val="both"/>
        <w:rPr>
          <w:rFonts w:ascii="gobCL" w:eastAsia="gobCL" w:hAnsi="gobCL" w:cs="gobCL"/>
        </w:rPr>
      </w:pPr>
    </w:p>
    <w:p w14:paraId="0B6569EF" w14:textId="77777777" w:rsidR="002862B1" w:rsidRDefault="002862B1">
      <w:pPr>
        <w:spacing w:before="240" w:after="240"/>
        <w:jc w:val="both"/>
        <w:rPr>
          <w:rFonts w:ascii="gobCL" w:eastAsia="gobCL" w:hAnsi="gobCL" w:cs="gobCL"/>
        </w:rPr>
      </w:pPr>
    </w:p>
    <w:p w14:paraId="4C9DA64D" w14:textId="77777777" w:rsidR="002862B1" w:rsidRDefault="002862B1">
      <w:pPr>
        <w:spacing w:before="240" w:after="240"/>
        <w:jc w:val="both"/>
        <w:rPr>
          <w:rFonts w:ascii="gobCL" w:eastAsia="gobCL" w:hAnsi="gobCL" w:cs="gobCL"/>
        </w:rPr>
      </w:pPr>
    </w:p>
    <w:p w14:paraId="5701C5D1" w14:textId="77777777" w:rsidR="002862B1" w:rsidRDefault="007C48F8">
      <w:pPr>
        <w:rPr>
          <w:rFonts w:ascii="gobCL" w:eastAsia="gobCL" w:hAnsi="gobCL" w:cs="gobCL"/>
          <w:b/>
        </w:rPr>
      </w:pPr>
      <w:r>
        <w:br w:type="page"/>
      </w:r>
      <w:r>
        <w:rPr>
          <w:rFonts w:ascii="gobCL" w:eastAsia="gobCL" w:hAnsi="gobCL" w:cs="gobCL"/>
          <w:b/>
        </w:rPr>
        <w:lastRenderedPageBreak/>
        <w:t>1. Antecedentes del programa</w:t>
      </w:r>
    </w:p>
    <w:p w14:paraId="7A0EC7B3" w14:textId="47B05114" w:rsidR="002862B1" w:rsidRDefault="007C48F8">
      <w:pPr>
        <w:spacing w:after="0" w:line="240" w:lineRule="auto"/>
        <w:jc w:val="both"/>
        <w:rPr>
          <w:rFonts w:ascii="gobCL" w:eastAsia="gobCL" w:hAnsi="gobCL" w:cs="gobCL"/>
          <w:sz w:val="20"/>
          <w:szCs w:val="20"/>
        </w:rPr>
      </w:pPr>
      <w:r>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Dicho eso, y en el contexto de una economía global, es que actividades como el</w:t>
      </w:r>
      <w:r>
        <w:rPr>
          <w:color w:val="000000"/>
        </w:rPr>
        <w:t> </w:t>
      </w:r>
      <w:r>
        <w:rPr>
          <w:rFonts w:ascii="gobCL" w:eastAsia="gobCL" w:hAnsi="gobCL" w:cs="gobCL"/>
          <w:color w:val="000000"/>
        </w:rPr>
        <w:t>comercio, manufactura, transporte,</w:t>
      </w:r>
      <w:r>
        <w:rPr>
          <w:rFonts w:ascii="gobCL" w:eastAsia="gobCL" w:hAnsi="gobCL" w:cs="gobCL"/>
        </w:rPr>
        <w:t xml:space="preserve"> </w:t>
      </w:r>
      <w:r>
        <w:rPr>
          <w:rFonts w:ascii="gobCL" w:eastAsia="gobCL" w:hAnsi="gobCL" w:cs="gobCL"/>
          <w:color w:val="000000"/>
        </w:rPr>
        <w:t>tur</w:t>
      </w:r>
      <w:r>
        <w:rPr>
          <w:rFonts w:ascii="gobCL" w:eastAsia="gobCL" w:hAnsi="gobCL" w:cs="gobCL"/>
        </w:rPr>
        <w:t>i</w:t>
      </w:r>
      <w:r>
        <w:rPr>
          <w:rFonts w:ascii="gobCL" w:eastAsia="gobCL" w:hAnsi="gobCL" w:cs="gobCL"/>
          <w:color w:val="000000"/>
        </w:rPr>
        <w:t>s</w:t>
      </w:r>
      <w:r>
        <w:rPr>
          <w:rFonts w:ascii="gobCL" w:eastAsia="gobCL" w:hAnsi="gobCL" w:cs="gobCL"/>
        </w:rPr>
        <w:t>mo</w:t>
      </w:r>
      <w:r>
        <w:rPr>
          <w:rFonts w:ascii="gobCL" w:eastAsia="gobCL" w:hAnsi="gobCL" w:cs="gobCL"/>
          <w:color w:val="000000"/>
        </w:rPr>
        <w:t xml:space="preserve"> y otros rubros, especialmente en el segmento de las micro y pequeñas empresas, se </w:t>
      </w:r>
      <w:r>
        <w:rPr>
          <w:rFonts w:ascii="gobCL" w:eastAsia="gobCL" w:hAnsi="gobCL" w:cs="gobCL"/>
        </w:rPr>
        <w:t>están viendo</w:t>
      </w:r>
      <w:r>
        <w:rPr>
          <w:rFonts w:ascii="gobCL" w:eastAsia="gobCL" w:hAnsi="gobCL" w:cs="gobCL"/>
          <w:color w:val="000000"/>
        </w:rPr>
        <w:t xml:space="preserve"> afectadas, lo que generará un impacto negativo en la economía.</w:t>
      </w:r>
    </w:p>
    <w:p w14:paraId="241029FF" w14:textId="77777777" w:rsidR="002862B1" w:rsidRDefault="007C48F8">
      <w:pPr>
        <w:spacing w:before="240" w:after="240"/>
        <w:jc w:val="both"/>
        <w:rPr>
          <w:rFonts w:ascii="gobCL" w:eastAsia="gobCL" w:hAnsi="gobCL" w:cs="gobCL"/>
        </w:rPr>
      </w:pPr>
      <w:r>
        <w:rPr>
          <w:rFonts w:ascii="gobCL" w:eastAsia="gobCL" w:hAnsi="gobCL" w:cs="gobCL"/>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1B27DACE" w14:textId="77777777" w:rsidR="002862B1" w:rsidRDefault="007C48F8">
      <w:pPr>
        <w:spacing w:before="240" w:after="240"/>
        <w:jc w:val="both"/>
        <w:rPr>
          <w:rFonts w:ascii="gobCL" w:eastAsia="gobCL" w:hAnsi="gobCL" w:cs="gobCL"/>
        </w:rPr>
      </w:pPr>
      <w:r>
        <w:rPr>
          <w:rFonts w:ascii="gobCL" w:eastAsia="gobCL" w:hAnsi="gobCL" w:cs="gobCL"/>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6301C908" w14:textId="341FFECA" w:rsidR="002862B1" w:rsidRDefault="007C48F8">
      <w:pPr>
        <w:spacing w:before="240" w:after="240"/>
        <w:jc w:val="both"/>
        <w:rPr>
          <w:rFonts w:ascii="gobCL" w:eastAsia="gobCL" w:hAnsi="gobCL" w:cs="gobCL"/>
        </w:rPr>
      </w:pPr>
      <w:r>
        <w:rPr>
          <w:rFonts w:ascii="gobCL" w:eastAsia="gobCL" w:hAnsi="gobCL" w:cs="gobCL"/>
        </w:rPr>
        <w:t xml:space="preserve">Hoy, ante la contingencia nacional, el rol de Sercotec se ha vuelto aún más imprescindible, por lo cual dispone el Programa Especial </w:t>
      </w:r>
      <w:r w:rsidR="008E2CF4">
        <w:rPr>
          <w:rFonts w:ascii="gobCL" w:eastAsia="gobCL" w:hAnsi="gobCL" w:cs="gobCL"/>
        </w:rPr>
        <w:t xml:space="preserve"> </w:t>
      </w:r>
      <w:r>
        <w:rPr>
          <w:rFonts w:ascii="gobCL" w:eastAsia="gobCL" w:hAnsi="gobCL" w:cs="gobCL"/>
        </w:rPr>
        <w:t xml:space="preserve">“Reactívate con Sercotec”, el cual busca entregar las herramientas necesarias a aquellas micro y pequeñas empresas, con ventas netas iguales o inferiores a 25.000 UF al año, que se han visto afectadas en sus ingresos a causa </w:t>
      </w:r>
      <w:r w:rsidR="009D21AD">
        <w:rPr>
          <w:rFonts w:ascii="gobCL" w:eastAsia="gobCL" w:hAnsi="gobCL" w:cs="gobCL"/>
        </w:rPr>
        <w:t xml:space="preserve">de la crisis social iniciada en octubre de 2019, y </w:t>
      </w:r>
      <w:r>
        <w:rPr>
          <w:rFonts w:ascii="gobCL" w:eastAsia="gobCL" w:hAnsi="gobCL" w:cs="gobCL"/>
        </w:rPr>
        <w:t>de la emergencia sanitaria que afecta hoy al mundo, según lo establecido en las presentes Bases.</w:t>
      </w:r>
    </w:p>
    <w:p w14:paraId="568A1A96" w14:textId="77777777" w:rsidR="002862B1" w:rsidRDefault="007C48F8">
      <w:pPr>
        <w:spacing w:before="240" w:after="240"/>
        <w:jc w:val="both"/>
        <w:rPr>
          <w:rFonts w:ascii="gobCL" w:eastAsia="gobCL" w:hAnsi="gobCL" w:cs="gobCL"/>
          <w:b/>
        </w:rPr>
      </w:pPr>
      <w:r>
        <w:rPr>
          <w:rFonts w:ascii="gobCL" w:eastAsia="gobCL" w:hAnsi="gobCL" w:cs="gobCL"/>
          <w:b/>
        </w:rPr>
        <w:t>2. ¿Qué es?</w:t>
      </w:r>
    </w:p>
    <w:p w14:paraId="0B2ACECD" w14:textId="7255F675" w:rsidR="002862B1" w:rsidRDefault="007C48F8">
      <w:pPr>
        <w:spacing w:before="240" w:after="240"/>
        <w:jc w:val="both"/>
        <w:rPr>
          <w:rFonts w:ascii="gobCL" w:eastAsia="gobCL" w:hAnsi="gobCL" w:cs="gobCL"/>
        </w:rPr>
      </w:pPr>
      <w:r>
        <w:rPr>
          <w:rFonts w:ascii="gobCL" w:eastAsia="gobCL" w:hAnsi="gobCL" w:cs="gobCL"/>
        </w:rPr>
        <w:t xml:space="preserve">Es un programa que busca apoyar a los micro y pequeñas empresas de cualquier sector económico con ventas netas iguales o inferiores a 25.000 UF al año, que hayan visto afectadas sus </w:t>
      </w:r>
      <w:r w:rsidRPr="00C97970">
        <w:rPr>
          <w:rFonts w:ascii="gobCL" w:eastAsia="gobCL" w:hAnsi="gobCL" w:cs="gobCL"/>
        </w:rPr>
        <w:t xml:space="preserve">ventas en al menos un </w:t>
      </w:r>
      <w:r w:rsidR="003A0EDB">
        <w:rPr>
          <w:rFonts w:ascii="gobCL" w:eastAsia="gobCL" w:hAnsi="gobCL" w:cs="gobCL"/>
        </w:rPr>
        <w:t>2</w:t>
      </w:r>
      <w:r w:rsidRPr="00C97970">
        <w:rPr>
          <w:rFonts w:ascii="gobCL" w:eastAsia="gobCL" w:hAnsi="gobCL" w:cs="gobCL"/>
        </w:rPr>
        <w:t xml:space="preserve">0%, </w:t>
      </w:r>
      <w:r w:rsidR="00863EF8">
        <w:rPr>
          <w:rFonts w:ascii="gobCL" w:eastAsia="gobCL" w:hAnsi="gobCL" w:cs="gobCL"/>
        </w:rPr>
        <w:t xml:space="preserve">en </w:t>
      </w:r>
      <w:r w:rsidR="00021A91">
        <w:rPr>
          <w:rFonts w:ascii="gobCL" w:eastAsia="gobCL" w:hAnsi="gobCL" w:cs="gobCL"/>
        </w:rPr>
        <w:t>los últimos meses</w:t>
      </w:r>
      <w:r w:rsidRPr="00C97970">
        <w:rPr>
          <w:rFonts w:ascii="gobCL" w:eastAsia="gobCL" w:hAnsi="gobCL" w:cs="gobCL"/>
        </w:rPr>
        <w:t xml:space="preserve"> y que tengan inicio de actividades </w:t>
      </w:r>
      <w:r w:rsidR="00E3667C" w:rsidRPr="00C97970">
        <w:rPr>
          <w:rFonts w:ascii="gobCL" w:eastAsia="gobCL" w:hAnsi="gobCL" w:cs="gobCL"/>
        </w:rPr>
        <w:t xml:space="preserve">con fecha anterior o igual a </w:t>
      </w:r>
      <w:r w:rsidRPr="00C97970">
        <w:rPr>
          <w:rFonts w:ascii="gobCL" w:eastAsia="gobCL" w:hAnsi="gobCL" w:cs="gobCL"/>
        </w:rPr>
        <w:t>octubre de 2019. Para apoyar la reactivación de su actividad económica, Sercotec otorga un subsidio que</w:t>
      </w:r>
      <w:r>
        <w:rPr>
          <w:rFonts w:ascii="gobCL" w:eastAsia="gobCL" w:hAnsi="gobCL" w:cs="gobCL"/>
        </w:rPr>
        <w:t xml:space="preserve"> les permita adquirir activos fijos (tangibles e intangibles) y/o capital de trabajo (materias primas y materiales, mercadería, arriendos) y financiar créditos bancarios asociados </w:t>
      </w:r>
      <w:r w:rsidR="008E2CF4">
        <w:rPr>
          <w:rFonts w:ascii="gobCL" w:eastAsia="gobCL" w:hAnsi="gobCL" w:cs="gobCL"/>
        </w:rPr>
        <w:t xml:space="preserve">de manera fehaciente </w:t>
      </w:r>
      <w:r>
        <w:rPr>
          <w:rFonts w:ascii="gobCL" w:eastAsia="gobCL" w:hAnsi="gobCL" w:cs="gobCL"/>
        </w:rPr>
        <w:t>a su negocio y el pago de servicios básicos</w:t>
      </w:r>
      <w:r w:rsidR="008E2CF4">
        <w:rPr>
          <w:rFonts w:ascii="gobCL" w:eastAsia="gobCL" w:hAnsi="gobCL" w:cs="gobCL"/>
        </w:rPr>
        <w:t xml:space="preserve"> en igual caso</w:t>
      </w:r>
      <w:r>
        <w:rPr>
          <w:rFonts w:ascii="gobCL" w:eastAsia="gobCL" w:hAnsi="gobCL" w:cs="gobCL"/>
        </w:rPr>
        <w:t>.</w:t>
      </w:r>
    </w:p>
    <w:p w14:paraId="044C4DF1" w14:textId="77777777" w:rsidR="002862B1" w:rsidRDefault="007C48F8">
      <w:pPr>
        <w:spacing w:before="240" w:after="240"/>
        <w:jc w:val="both"/>
        <w:rPr>
          <w:rFonts w:ascii="gobCL" w:eastAsia="gobCL" w:hAnsi="gobCL" w:cs="gobCL"/>
          <w:b/>
        </w:rPr>
      </w:pPr>
      <w:r>
        <w:rPr>
          <w:rFonts w:ascii="gobCL" w:eastAsia="gobCL" w:hAnsi="gobCL" w:cs="gobCL"/>
          <w:b/>
        </w:rPr>
        <w:t>2.1. Requisitos generales del programa</w:t>
      </w:r>
    </w:p>
    <w:p w14:paraId="7E56C441" w14:textId="77777777" w:rsidR="002862B1" w:rsidRDefault="007C48F8">
      <w:pPr>
        <w:spacing w:before="240" w:after="240"/>
        <w:jc w:val="both"/>
        <w:rPr>
          <w:rFonts w:ascii="gobCL" w:eastAsia="gobCL" w:hAnsi="gobCL" w:cs="gobCL"/>
        </w:rPr>
      </w:pPr>
      <w:bookmarkStart w:id="1" w:name="_heading=h.30j0zll" w:colFirst="0" w:colLast="0"/>
      <w:bookmarkEnd w:id="1"/>
      <w:r>
        <w:rPr>
          <w:rFonts w:ascii="gobCL" w:eastAsia="gobCL" w:hAnsi="gobCL" w:cs="gobCL"/>
        </w:rPr>
        <w:t xml:space="preserve">Este programa está dirigido a las empresas que cumplan con los siguientes </w:t>
      </w:r>
      <w:r>
        <w:rPr>
          <w:rFonts w:ascii="gobCL" w:eastAsia="gobCL" w:hAnsi="gobCL" w:cs="gobCL"/>
          <w:b/>
        </w:rPr>
        <w:t xml:space="preserve">requisitos, </w:t>
      </w:r>
      <w:r>
        <w:rPr>
          <w:rFonts w:ascii="gobCL" w:eastAsia="gobCL" w:hAnsi="gobCL" w:cs="gobCL"/>
        </w:rPr>
        <w:t>cuyos medios de verificación se detallan en el Anexo N°1:</w:t>
      </w:r>
    </w:p>
    <w:p w14:paraId="7737666B" w14:textId="77777777" w:rsidR="00C97970" w:rsidRDefault="00C97970">
      <w:pPr>
        <w:spacing w:before="240" w:after="240" w:line="276" w:lineRule="auto"/>
        <w:jc w:val="both"/>
        <w:rPr>
          <w:rFonts w:ascii="gobCL" w:eastAsia="gobCL" w:hAnsi="gobCL" w:cs="gobCL"/>
          <w:b/>
          <w:u w:val="single"/>
        </w:rPr>
      </w:pPr>
    </w:p>
    <w:p w14:paraId="5B49AD7B" w14:textId="77777777" w:rsidR="00C97970" w:rsidRDefault="00C97970">
      <w:pPr>
        <w:spacing w:before="240" w:after="240" w:line="276" w:lineRule="auto"/>
        <w:jc w:val="both"/>
        <w:rPr>
          <w:rFonts w:ascii="gobCL" w:eastAsia="gobCL" w:hAnsi="gobCL" w:cs="gobCL"/>
          <w:b/>
          <w:u w:val="single"/>
        </w:rPr>
      </w:pPr>
    </w:p>
    <w:p w14:paraId="40387269" w14:textId="77777777" w:rsidR="00C97970" w:rsidRDefault="00C97970">
      <w:pPr>
        <w:spacing w:before="240" w:after="240" w:line="276" w:lineRule="auto"/>
        <w:jc w:val="both"/>
        <w:rPr>
          <w:rFonts w:ascii="gobCL" w:eastAsia="gobCL" w:hAnsi="gobCL" w:cs="gobCL"/>
          <w:b/>
          <w:u w:val="single"/>
        </w:rPr>
      </w:pPr>
    </w:p>
    <w:p w14:paraId="61B3EA2C" w14:textId="34912B57" w:rsidR="002862B1" w:rsidRDefault="007C48F8">
      <w:pPr>
        <w:spacing w:before="240" w:after="240" w:line="276" w:lineRule="auto"/>
        <w:jc w:val="both"/>
        <w:rPr>
          <w:rFonts w:ascii="gobCL" w:eastAsia="gobCL" w:hAnsi="gobCL" w:cs="gobCL"/>
          <w:b/>
          <w:u w:val="single"/>
        </w:rPr>
      </w:pPr>
      <w:r>
        <w:rPr>
          <w:rFonts w:ascii="gobCL" w:eastAsia="gobCL" w:hAnsi="gobCL" w:cs="gobCL"/>
          <w:b/>
          <w:u w:val="single"/>
        </w:rPr>
        <w:lastRenderedPageBreak/>
        <w:t>2.1.1 Requisitos de admisibilidad:</w:t>
      </w:r>
    </w:p>
    <w:p w14:paraId="4E2B7DDD" w14:textId="77777777" w:rsidR="002862B1" w:rsidRDefault="007C48F8">
      <w:pPr>
        <w:spacing w:before="240" w:after="240" w:line="276" w:lineRule="auto"/>
        <w:jc w:val="both"/>
        <w:rPr>
          <w:rFonts w:ascii="gobCL" w:eastAsia="gobCL" w:hAnsi="gobCL" w:cs="gobCL"/>
          <w:b/>
          <w:u w:val="single"/>
        </w:rPr>
      </w:pPr>
      <w:r>
        <w:rPr>
          <w:rFonts w:ascii="gobCL" w:eastAsia="gobCL" w:hAnsi="gobCL" w:cs="gobCL"/>
          <w:b/>
          <w:u w:val="single"/>
        </w:rPr>
        <w:t>a.- Admisibilidad automática:</w:t>
      </w:r>
    </w:p>
    <w:p w14:paraId="758865FE" w14:textId="66DCD309" w:rsidR="002862B1" w:rsidRDefault="007C48F8">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rPr>
        <w:t>a.1</w:t>
      </w:r>
      <w:r w:rsidRPr="00B2442B">
        <w:rPr>
          <w:rFonts w:ascii="gobCL" w:eastAsia="gobCL" w:hAnsi="gobCL" w:cs="gobCL"/>
        </w:rPr>
        <w:t xml:space="preserve">. </w:t>
      </w:r>
      <w:r w:rsidRPr="00B2442B">
        <w:rPr>
          <w:rFonts w:ascii="gobCL" w:eastAsia="gobCL" w:hAnsi="gobCL" w:cs="gobCL"/>
          <w:color w:val="000000"/>
        </w:rPr>
        <w:t xml:space="preserve">Ser persona natural y/o jurídica con iniciación de actividades en primera </w:t>
      </w:r>
      <w:r w:rsidR="007F67FE">
        <w:rPr>
          <w:rFonts w:ascii="gobCL" w:eastAsia="gobCL" w:hAnsi="gobCL" w:cs="gobCL"/>
          <w:color w:val="000000"/>
        </w:rPr>
        <w:t xml:space="preserve">categoría </w:t>
      </w:r>
      <w:r w:rsidRPr="00B2442B">
        <w:rPr>
          <w:rFonts w:ascii="gobCL" w:eastAsia="gobCL" w:hAnsi="gobCL" w:cs="gobCL"/>
          <w:color w:val="000000"/>
        </w:rPr>
        <w:t>ante el Servicio de Impuestos Internos (SII), vigente al inicio de la convocatoria.</w:t>
      </w:r>
      <w:r>
        <w:rPr>
          <w:rFonts w:ascii="gobCL" w:eastAsia="gobCL" w:hAnsi="gobCL" w:cs="gobCL"/>
          <w:color w:val="000000"/>
        </w:rPr>
        <w:t xml:space="preserve"> </w:t>
      </w:r>
    </w:p>
    <w:p w14:paraId="0CBDB1E5" w14:textId="77777777" w:rsidR="002862B1" w:rsidRDefault="002862B1">
      <w:pPr>
        <w:pBdr>
          <w:top w:val="nil"/>
          <w:left w:val="nil"/>
          <w:bottom w:val="nil"/>
          <w:right w:val="nil"/>
          <w:between w:val="nil"/>
        </w:pBdr>
        <w:spacing w:after="0" w:line="276" w:lineRule="auto"/>
        <w:ind w:left="1080"/>
        <w:jc w:val="both"/>
        <w:rPr>
          <w:rFonts w:ascii="gobCL" w:eastAsia="gobCL" w:hAnsi="gobCL" w:cs="gobCL"/>
          <w:color w:val="000000"/>
        </w:rPr>
      </w:pPr>
    </w:p>
    <w:p w14:paraId="645E51F7" w14:textId="77777777" w:rsidR="002862B1" w:rsidRDefault="007C48F8">
      <w:p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a.2. </w:t>
      </w:r>
      <w:r>
        <w:rPr>
          <w:rFonts w:ascii="gobCL" w:eastAsia="gobCL" w:hAnsi="gobCL" w:cs="gobCL"/>
          <w:color w:val="000000"/>
        </w:rPr>
        <w:t>No haber incumplido las obligaciones contractuales de un proyecto de Sercotec con el AOS (término anticipado de contrato por hecho o acto imputable al beneficiario/a), a la fecha de inicio de la convocatoria.</w:t>
      </w:r>
    </w:p>
    <w:p w14:paraId="117B5E47" w14:textId="77777777" w:rsidR="002862B1" w:rsidRDefault="002862B1">
      <w:pPr>
        <w:pBdr>
          <w:top w:val="nil"/>
          <w:left w:val="nil"/>
          <w:bottom w:val="nil"/>
          <w:right w:val="nil"/>
          <w:between w:val="nil"/>
        </w:pBdr>
        <w:spacing w:after="0"/>
        <w:ind w:left="1080"/>
        <w:jc w:val="both"/>
        <w:rPr>
          <w:rFonts w:ascii="gobCL" w:eastAsia="gobCL" w:hAnsi="gobCL" w:cs="gobCL"/>
          <w:color w:val="000000"/>
        </w:rPr>
      </w:pPr>
    </w:p>
    <w:p w14:paraId="44DC92B3" w14:textId="77777777" w:rsidR="002862B1" w:rsidRDefault="007C48F8">
      <w:pPr>
        <w:pBdr>
          <w:top w:val="nil"/>
          <w:left w:val="nil"/>
          <w:bottom w:val="nil"/>
          <w:right w:val="nil"/>
          <w:between w:val="nil"/>
        </w:pBdr>
        <w:spacing w:after="0"/>
        <w:jc w:val="both"/>
        <w:rPr>
          <w:rFonts w:ascii="gobCL" w:eastAsia="gobCL" w:hAnsi="gobCL" w:cs="gobCL"/>
          <w:b/>
          <w:color w:val="000000"/>
        </w:rPr>
      </w:pPr>
      <w:r>
        <w:rPr>
          <w:rFonts w:ascii="gobCL" w:eastAsia="gobCL" w:hAnsi="gobCL" w:cs="gobCL"/>
        </w:rPr>
        <w:t xml:space="preserve">a.3. </w:t>
      </w:r>
      <w:r>
        <w:rPr>
          <w:rFonts w:ascii="gobCL" w:eastAsia="gobCL" w:hAnsi="gobCL" w:cs="gobCL"/>
          <w:color w:val="000000"/>
        </w:rPr>
        <w:t xml:space="preserve">No tener condenas por prácticas antisindicales y/o infracción a derechos fundamentales del trabajador, dentro de los dos años anteriores a la fecha de cierre de las postulaciones de la presente convocatoria. </w:t>
      </w:r>
      <w:r>
        <w:rPr>
          <w:rFonts w:ascii="gobCL" w:eastAsia="gobCL" w:hAnsi="gobCL" w:cs="gobCL"/>
          <w:b/>
          <w:color w:val="000000"/>
        </w:rPr>
        <w:t>Sercotec validará nuevamente esta condición al momento de formalizar.</w:t>
      </w:r>
    </w:p>
    <w:p w14:paraId="5CF4ACC0" w14:textId="77777777" w:rsidR="002862B1" w:rsidRDefault="002862B1">
      <w:pPr>
        <w:pBdr>
          <w:top w:val="nil"/>
          <w:left w:val="nil"/>
          <w:bottom w:val="nil"/>
          <w:right w:val="nil"/>
          <w:between w:val="nil"/>
        </w:pBdr>
        <w:spacing w:after="0"/>
        <w:jc w:val="both"/>
        <w:rPr>
          <w:rFonts w:ascii="gobCL" w:eastAsia="gobCL" w:hAnsi="gobCL" w:cs="gobCL"/>
          <w:color w:val="000000"/>
        </w:rPr>
      </w:pPr>
    </w:p>
    <w:p w14:paraId="319425C8" w14:textId="77777777" w:rsidR="002862B1" w:rsidRDefault="007C48F8">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b/>
          <w:u w:val="single"/>
        </w:rPr>
        <w:t>b.-  Admisibilidad manual:</w:t>
      </w:r>
    </w:p>
    <w:p w14:paraId="1B7A2FF1" w14:textId="7034FD25" w:rsidR="002862B1" w:rsidRDefault="007C48F8">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b.1.- Ventas mayores a 0 (cero) e inferiores o iguales a 25.000 UF.</w:t>
      </w:r>
      <w:r w:rsidR="00B2442B">
        <w:rPr>
          <w:rFonts w:ascii="gobCL" w:eastAsia="gobCL" w:hAnsi="gobCL" w:cs="gobCL"/>
          <w:b/>
        </w:rPr>
        <w:t xml:space="preserve"> </w:t>
      </w:r>
    </w:p>
    <w:p w14:paraId="398DF290" w14:textId="77777777" w:rsidR="00C33797" w:rsidRDefault="007C48F8" w:rsidP="00C97970">
      <w:pPr>
        <w:pBdr>
          <w:top w:val="nil"/>
          <w:left w:val="nil"/>
          <w:bottom w:val="nil"/>
          <w:right w:val="nil"/>
          <w:between w:val="nil"/>
        </w:pBdr>
        <w:spacing w:before="240" w:after="0" w:line="240" w:lineRule="auto"/>
        <w:jc w:val="both"/>
        <w:rPr>
          <w:rFonts w:ascii="gobCL" w:eastAsia="gobCL" w:hAnsi="gobCL" w:cs="gobCL"/>
          <w:color w:val="000000"/>
        </w:rPr>
      </w:pPr>
      <w:r>
        <w:rPr>
          <w:rFonts w:ascii="gobCL" w:eastAsia="gobCL" w:hAnsi="gobCL" w:cs="gobCL"/>
          <w:color w:val="000000"/>
        </w:rPr>
        <w:t>Contar con ventas en el periodo demostrables mayores a 0 e inferiores o iguales a 25.000 UF. Para el cálculo del nivel de las ventas netas se utilizará el valor de la UF correspondiente a la fecha de inicio de la presente convocatoria y se utilizará el siguiente período:</w:t>
      </w:r>
    </w:p>
    <w:p w14:paraId="159F5921" w14:textId="77777777" w:rsidR="00C33797"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887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547"/>
        <w:gridCol w:w="6325"/>
      </w:tblGrid>
      <w:tr w:rsidR="002862B1" w14:paraId="662D7EFF" w14:textId="77777777">
        <w:trPr>
          <w:trHeight w:val="765"/>
          <w:jc w:val="center"/>
        </w:trPr>
        <w:tc>
          <w:tcPr>
            <w:tcW w:w="2547" w:type="dxa"/>
            <w:shd w:val="clear" w:color="auto" w:fill="D9D9D9"/>
          </w:tcPr>
          <w:p w14:paraId="1D2B0029" w14:textId="77777777" w:rsidR="002862B1" w:rsidRDefault="007C48F8">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Mes de Inicio de Convocatoria</w:t>
            </w:r>
          </w:p>
        </w:tc>
        <w:tc>
          <w:tcPr>
            <w:tcW w:w="6325" w:type="dxa"/>
            <w:shd w:val="clear" w:color="auto" w:fill="D9D9D9"/>
          </w:tcPr>
          <w:p w14:paraId="15B1EF14" w14:textId="77777777" w:rsidR="002862B1" w:rsidRDefault="007C48F8">
            <w:pPr>
              <w:pBdr>
                <w:top w:val="nil"/>
                <w:left w:val="nil"/>
                <w:bottom w:val="nil"/>
                <w:right w:val="nil"/>
                <w:between w:val="nil"/>
              </w:pBdr>
              <w:tabs>
                <w:tab w:val="left" w:pos="709"/>
              </w:tabs>
              <w:spacing w:after="160" w:line="259" w:lineRule="auto"/>
              <w:jc w:val="center"/>
              <w:rPr>
                <w:rFonts w:ascii="gobCL" w:eastAsia="gobCL" w:hAnsi="gobCL" w:cs="gobCL"/>
              </w:rPr>
            </w:pPr>
            <w:r>
              <w:rPr>
                <w:rFonts w:ascii="gobCL" w:eastAsia="gobCL" w:hAnsi="gobCL" w:cs="gobCL"/>
                <w:color w:val="000000"/>
              </w:rPr>
              <w:t xml:space="preserve">Período de cálculo de ventas netas anuales demostrables mayores a 0 e inferiores o iguales a 25.000 UF. </w:t>
            </w:r>
          </w:p>
        </w:tc>
      </w:tr>
      <w:tr w:rsidR="002862B1" w14:paraId="60531623" w14:textId="77777777">
        <w:trPr>
          <w:jc w:val="center"/>
        </w:trPr>
        <w:tc>
          <w:tcPr>
            <w:tcW w:w="2547" w:type="dxa"/>
          </w:tcPr>
          <w:p w14:paraId="7A6DE755" w14:textId="47FAE62C" w:rsidR="002862B1" w:rsidRDefault="00087F1A">
            <w:pPr>
              <w:pBdr>
                <w:top w:val="nil"/>
                <w:left w:val="nil"/>
                <w:bottom w:val="nil"/>
                <w:right w:val="nil"/>
                <w:between w:val="nil"/>
              </w:pBdr>
              <w:tabs>
                <w:tab w:val="left" w:pos="709"/>
              </w:tabs>
              <w:spacing w:after="160" w:line="259" w:lineRule="auto"/>
              <w:jc w:val="center"/>
              <w:rPr>
                <w:rFonts w:ascii="gobCL" w:eastAsia="gobCL" w:hAnsi="gobCL" w:cs="gobCL"/>
                <w:color w:val="000000"/>
              </w:rPr>
            </w:pPr>
            <w:r>
              <w:rPr>
                <w:rFonts w:ascii="gobCL" w:eastAsia="gobCL" w:hAnsi="gobCL" w:cs="gobCL"/>
                <w:color w:val="000000"/>
              </w:rPr>
              <w:t xml:space="preserve">Mayo </w:t>
            </w:r>
            <w:r w:rsidR="007C48F8">
              <w:rPr>
                <w:rFonts w:ascii="gobCL" w:eastAsia="gobCL" w:hAnsi="gobCL" w:cs="gobCL"/>
                <w:color w:val="000000"/>
              </w:rPr>
              <w:t>2020</w:t>
            </w:r>
          </w:p>
        </w:tc>
        <w:tc>
          <w:tcPr>
            <w:tcW w:w="6325" w:type="dxa"/>
          </w:tcPr>
          <w:p w14:paraId="65509AE4" w14:textId="66407B22" w:rsidR="002862B1" w:rsidRDefault="00F33242">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highlight w:val="yellow"/>
              </w:rPr>
            </w:pPr>
            <w:r>
              <w:rPr>
                <w:rFonts w:ascii="gobCL" w:eastAsia="gobCL" w:hAnsi="gobCL" w:cs="gobCL"/>
              </w:rPr>
              <w:t>Abril</w:t>
            </w:r>
            <w:r w:rsidR="00087F1A" w:rsidRPr="00B2442B">
              <w:rPr>
                <w:rFonts w:ascii="gobCL" w:eastAsia="gobCL" w:hAnsi="gobCL" w:cs="gobCL"/>
                <w:color w:val="000000"/>
              </w:rPr>
              <w:t xml:space="preserve"> </w:t>
            </w:r>
            <w:r w:rsidR="007C48F8" w:rsidRPr="00B2442B">
              <w:rPr>
                <w:rFonts w:ascii="gobCL" w:eastAsia="gobCL" w:hAnsi="gobCL" w:cs="gobCL"/>
                <w:color w:val="000000"/>
              </w:rPr>
              <w:t xml:space="preserve">2019 – </w:t>
            </w:r>
            <w:r>
              <w:rPr>
                <w:rFonts w:ascii="gobCL" w:eastAsia="gobCL" w:hAnsi="gobCL" w:cs="gobCL"/>
                <w:color w:val="000000"/>
              </w:rPr>
              <w:t>Marzo</w:t>
            </w:r>
            <w:r w:rsidR="007C48F8" w:rsidRPr="00B2442B">
              <w:rPr>
                <w:rFonts w:ascii="gobCL" w:eastAsia="gobCL" w:hAnsi="gobCL" w:cs="gobCL"/>
                <w:color w:val="000000"/>
              </w:rPr>
              <w:t xml:space="preserve"> 2020</w:t>
            </w:r>
          </w:p>
        </w:tc>
      </w:tr>
    </w:tbl>
    <w:p w14:paraId="6E851979" w14:textId="58E3FCF9" w:rsidR="002862B1" w:rsidRDefault="007C48F8">
      <w:pPr>
        <w:spacing w:before="240" w:after="240" w:line="240" w:lineRule="auto"/>
        <w:jc w:val="both"/>
        <w:rPr>
          <w:rFonts w:ascii="gobCL" w:eastAsia="gobCL" w:hAnsi="gobCL" w:cs="gobCL"/>
        </w:rPr>
      </w:pPr>
      <w:r>
        <w:rPr>
          <w:rFonts w:ascii="gobCL" w:eastAsia="gobCL" w:hAnsi="gobCL" w:cs="gobCL"/>
        </w:rPr>
        <w:t xml:space="preserve">Para las empresas que tengan iniciación de actividades posterior a </w:t>
      </w:r>
      <w:r w:rsidRPr="00B2442B">
        <w:rPr>
          <w:rFonts w:ascii="gobCL" w:eastAsia="gobCL" w:hAnsi="gobCL" w:cs="gobCL"/>
        </w:rPr>
        <w:t>abril del 2019,</w:t>
      </w:r>
      <w:r>
        <w:rPr>
          <w:rFonts w:ascii="gobCL" w:eastAsia="gobCL" w:hAnsi="gobCL" w:cs="gobCL"/>
        </w:rPr>
        <w:t xml:space="preserve"> el cálculo de ventas se hará a partir del mes de inicio de actividades hasta el mes de </w:t>
      </w:r>
      <w:r w:rsidR="007464B6">
        <w:rPr>
          <w:rFonts w:ascii="gobCL" w:eastAsia="gobCL" w:hAnsi="gobCL" w:cs="gobCL"/>
        </w:rPr>
        <w:t>m</w:t>
      </w:r>
      <w:r w:rsidR="00F33242">
        <w:rPr>
          <w:rFonts w:ascii="gobCL" w:eastAsia="gobCL" w:hAnsi="gobCL" w:cs="gobCL"/>
        </w:rPr>
        <w:t>arzo</w:t>
      </w:r>
      <w:r w:rsidR="0060429C">
        <w:rPr>
          <w:rFonts w:ascii="gobCL" w:eastAsia="gobCL" w:hAnsi="gobCL" w:cs="gobCL"/>
        </w:rPr>
        <w:t xml:space="preserve"> </w:t>
      </w:r>
      <w:r>
        <w:rPr>
          <w:rFonts w:ascii="gobCL" w:eastAsia="gobCL" w:hAnsi="gobCL" w:cs="gobCL"/>
        </w:rPr>
        <w:t>de 2020.</w:t>
      </w:r>
    </w:p>
    <w:p w14:paraId="032F3238" w14:textId="77777777" w:rsidR="002862B1" w:rsidRDefault="007C48F8">
      <w:pPr>
        <w:spacing w:before="240" w:after="240" w:line="240" w:lineRule="auto"/>
        <w:jc w:val="both"/>
        <w:rPr>
          <w:rFonts w:ascii="gobCL" w:eastAsia="gobCL" w:hAnsi="gobCL" w:cs="gobCL"/>
        </w:rPr>
      </w:pPr>
      <w:r>
        <w:rPr>
          <w:rFonts w:ascii="gobCL" w:eastAsia="gobCL" w:hAnsi="gobCL" w:cs="gobCL"/>
        </w:rPr>
        <w:t>En</w:t>
      </w:r>
      <w:r>
        <w:t> </w:t>
      </w:r>
      <w:r>
        <w:rPr>
          <w:rFonts w:ascii="gobCL" w:eastAsia="gobCL" w:hAnsi="gobCL" w:cs="gobCL"/>
        </w:rPr>
        <w:t xml:space="preserve">el caso de ser cooperativas, se les solicitará que las ventas netas promedio por asociado sean iguales o inferiores a 25.000 UF, lo cual se calcula con el monto total de ventas netas durante el período de cálculo de ventas netas de la cooperativa, dividido por el número de asociados. </w:t>
      </w:r>
    </w:p>
    <w:p w14:paraId="44A63A2D" w14:textId="648A2CFC" w:rsidR="002862B1" w:rsidRDefault="007C48F8">
      <w:pPr>
        <w:pBdr>
          <w:top w:val="nil"/>
          <w:left w:val="nil"/>
          <w:bottom w:val="nil"/>
          <w:right w:val="nil"/>
          <w:between w:val="nil"/>
        </w:pBdr>
        <w:spacing w:after="0" w:line="276" w:lineRule="auto"/>
        <w:jc w:val="both"/>
        <w:rPr>
          <w:rFonts w:ascii="gobCL" w:eastAsia="gobCL" w:hAnsi="gobCL" w:cs="gobCL"/>
          <w:b/>
        </w:rPr>
      </w:pPr>
      <w:r>
        <w:rPr>
          <w:rFonts w:ascii="gobCL" w:eastAsia="gobCL" w:hAnsi="gobCL" w:cs="gobCL"/>
          <w:b/>
        </w:rPr>
        <w:t xml:space="preserve">b.2.- Disminución de las ventas de a lo menos un </w:t>
      </w:r>
      <w:r w:rsidR="003A0EDB">
        <w:rPr>
          <w:rFonts w:ascii="gobCL" w:eastAsia="gobCL" w:hAnsi="gobCL" w:cs="gobCL"/>
          <w:b/>
        </w:rPr>
        <w:t>2</w:t>
      </w:r>
      <w:r>
        <w:rPr>
          <w:rFonts w:ascii="gobCL" w:eastAsia="gobCL" w:hAnsi="gobCL" w:cs="gobCL"/>
          <w:b/>
        </w:rPr>
        <w:t xml:space="preserve">0%. </w:t>
      </w:r>
    </w:p>
    <w:p w14:paraId="3812B428" w14:textId="77777777" w:rsidR="002862B1" w:rsidRDefault="002862B1">
      <w:pPr>
        <w:pBdr>
          <w:top w:val="nil"/>
          <w:left w:val="nil"/>
          <w:bottom w:val="nil"/>
          <w:right w:val="nil"/>
          <w:between w:val="nil"/>
        </w:pBdr>
        <w:spacing w:after="0" w:line="276" w:lineRule="auto"/>
        <w:jc w:val="both"/>
        <w:rPr>
          <w:rFonts w:ascii="gobCL" w:eastAsia="gobCL" w:hAnsi="gobCL" w:cs="gobCL"/>
          <w:b/>
        </w:rPr>
      </w:pPr>
    </w:p>
    <w:p w14:paraId="40962AEA" w14:textId="02B3FBBD" w:rsidR="002862B1" w:rsidRPr="00B2442B" w:rsidRDefault="007C48F8">
      <w:pPr>
        <w:pBdr>
          <w:top w:val="nil"/>
          <w:left w:val="nil"/>
          <w:bottom w:val="nil"/>
          <w:right w:val="nil"/>
          <w:between w:val="nil"/>
        </w:pBdr>
        <w:spacing w:after="0" w:line="276" w:lineRule="auto"/>
        <w:jc w:val="both"/>
        <w:rPr>
          <w:rFonts w:ascii="gobCL" w:eastAsia="gobCL" w:hAnsi="gobCL" w:cs="gobCL"/>
          <w:color w:val="000000"/>
        </w:rPr>
      </w:pPr>
      <w:r w:rsidRPr="00B2442B">
        <w:rPr>
          <w:rFonts w:ascii="gobCL" w:eastAsia="gobCL" w:hAnsi="gobCL" w:cs="gobCL"/>
          <w:color w:val="000000"/>
        </w:rPr>
        <w:t xml:space="preserve">Contar con, al menos, una disminución de ventas de un </w:t>
      </w:r>
      <w:r w:rsidR="003A0EDB">
        <w:rPr>
          <w:rFonts w:ascii="gobCL" w:eastAsia="gobCL" w:hAnsi="gobCL" w:cs="gobCL"/>
          <w:color w:val="000000"/>
        </w:rPr>
        <w:t>2</w:t>
      </w:r>
      <w:r w:rsidRPr="00B2442B">
        <w:rPr>
          <w:rFonts w:ascii="gobCL" w:eastAsia="gobCL" w:hAnsi="gobCL" w:cs="gobCL"/>
          <w:color w:val="000000"/>
        </w:rPr>
        <w:t>0%</w:t>
      </w:r>
      <w:r w:rsidRPr="00B2442B">
        <w:rPr>
          <w:rFonts w:ascii="gobCL" w:eastAsia="gobCL" w:hAnsi="gobCL" w:cs="gobCL"/>
          <w:b/>
          <w:color w:val="000000"/>
        </w:rPr>
        <w:t>,</w:t>
      </w:r>
      <w:r w:rsidRPr="00B2442B">
        <w:rPr>
          <w:rFonts w:ascii="gobCL" w:eastAsia="gobCL" w:hAnsi="gobCL" w:cs="gobCL"/>
          <w:color w:val="000000"/>
        </w:rPr>
        <w:t xml:space="preserve"> comparando el promedio de ventas del período 1 (</w:t>
      </w:r>
      <w:r w:rsidR="007464B6">
        <w:rPr>
          <w:rFonts w:ascii="gobCL" w:eastAsia="gobCL" w:hAnsi="gobCL" w:cs="gobCL"/>
        </w:rPr>
        <w:t>o</w:t>
      </w:r>
      <w:r w:rsidR="00F33242">
        <w:rPr>
          <w:rFonts w:ascii="gobCL" w:eastAsia="gobCL" w:hAnsi="gobCL" w:cs="gobCL"/>
        </w:rPr>
        <w:t>ctubre</w:t>
      </w:r>
      <w:r w:rsidR="00087F1A" w:rsidRPr="00B2442B">
        <w:rPr>
          <w:rFonts w:ascii="gobCL" w:eastAsia="gobCL" w:hAnsi="gobCL" w:cs="gobCL"/>
        </w:rPr>
        <w:t xml:space="preserve"> </w:t>
      </w:r>
      <w:r w:rsidRPr="00B2442B">
        <w:rPr>
          <w:rFonts w:ascii="gobCL" w:eastAsia="gobCL" w:hAnsi="gobCL" w:cs="gobCL"/>
        </w:rPr>
        <w:t xml:space="preserve">2018 </w:t>
      </w:r>
      <w:r w:rsidRPr="00B2442B">
        <w:rPr>
          <w:rFonts w:ascii="gobCL" w:eastAsia="gobCL" w:hAnsi="gobCL" w:cs="gobCL"/>
          <w:color w:val="000000"/>
        </w:rPr>
        <w:t xml:space="preserve">– </w:t>
      </w:r>
      <w:r w:rsidR="007464B6">
        <w:rPr>
          <w:rFonts w:ascii="gobCL" w:eastAsia="gobCL" w:hAnsi="gobCL" w:cs="gobCL"/>
        </w:rPr>
        <w:t>m</w:t>
      </w:r>
      <w:r w:rsidR="00F33242">
        <w:rPr>
          <w:rFonts w:ascii="gobCL" w:eastAsia="gobCL" w:hAnsi="gobCL" w:cs="gobCL"/>
        </w:rPr>
        <w:t>arzo</w:t>
      </w:r>
      <w:r w:rsidRPr="00B2442B">
        <w:rPr>
          <w:rFonts w:ascii="gobCL" w:eastAsia="gobCL" w:hAnsi="gobCL" w:cs="gobCL"/>
          <w:color w:val="000000"/>
        </w:rPr>
        <w:t xml:space="preserve"> 2019) con el promed</w:t>
      </w:r>
      <w:r w:rsidRPr="00B2442B">
        <w:rPr>
          <w:rFonts w:ascii="gobCL" w:eastAsia="gobCL" w:hAnsi="gobCL" w:cs="gobCL"/>
        </w:rPr>
        <w:t>io de v</w:t>
      </w:r>
      <w:r w:rsidRPr="00B2442B">
        <w:rPr>
          <w:rFonts w:ascii="gobCL" w:eastAsia="gobCL" w:hAnsi="gobCL" w:cs="gobCL"/>
          <w:color w:val="000000"/>
        </w:rPr>
        <w:t>entas del periodo 2 (</w:t>
      </w:r>
      <w:r w:rsidR="00186789">
        <w:rPr>
          <w:rFonts w:ascii="gobCL" w:eastAsia="gobCL" w:hAnsi="gobCL" w:cs="gobCL"/>
        </w:rPr>
        <w:t>o</w:t>
      </w:r>
      <w:r w:rsidR="00F33242">
        <w:rPr>
          <w:rFonts w:ascii="gobCL" w:eastAsia="gobCL" w:hAnsi="gobCL" w:cs="gobCL"/>
        </w:rPr>
        <w:t>ctubre</w:t>
      </w:r>
      <w:r w:rsidR="00087F1A" w:rsidRPr="00B2442B">
        <w:rPr>
          <w:rFonts w:ascii="gobCL" w:eastAsia="gobCL" w:hAnsi="gobCL" w:cs="gobCL"/>
        </w:rPr>
        <w:t xml:space="preserve"> </w:t>
      </w:r>
      <w:r w:rsidRPr="00B2442B">
        <w:rPr>
          <w:rFonts w:ascii="gobCL" w:eastAsia="gobCL" w:hAnsi="gobCL" w:cs="gobCL"/>
        </w:rPr>
        <w:t xml:space="preserve">2019 </w:t>
      </w:r>
      <w:r w:rsidRPr="00B2442B">
        <w:rPr>
          <w:rFonts w:ascii="gobCL" w:eastAsia="gobCL" w:hAnsi="gobCL" w:cs="gobCL"/>
          <w:color w:val="000000"/>
        </w:rPr>
        <w:t xml:space="preserve">-  </w:t>
      </w:r>
      <w:r w:rsidR="00186789">
        <w:rPr>
          <w:rFonts w:ascii="gobCL" w:eastAsia="gobCL" w:hAnsi="gobCL" w:cs="gobCL"/>
        </w:rPr>
        <w:t>m</w:t>
      </w:r>
      <w:r w:rsidR="00F33242">
        <w:rPr>
          <w:rFonts w:ascii="gobCL" w:eastAsia="gobCL" w:hAnsi="gobCL" w:cs="gobCL"/>
        </w:rPr>
        <w:t>arzo</w:t>
      </w:r>
      <w:r w:rsidRPr="00B2442B">
        <w:rPr>
          <w:rFonts w:ascii="gobCL" w:eastAsia="gobCL" w:hAnsi="gobCL" w:cs="gobCL"/>
        </w:rPr>
        <w:t xml:space="preserve"> </w:t>
      </w:r>
      <w:r w:rsidRPr="00B2442B">
        <w:rPr>
          <w:rFonts w:ascii="gobCL" w:eastAsia="gobCL" w:hAnsi="gobCL" w:cs="gobCL"/>
          <w:color w:val="000000"/>
        </w:rPr>
        <w:t>2</w:t>
      </w:r>
      <w:r w:rsidR="00863EF8">
        <w:rPr>
          <w:rFonts w:ascii="gobCL" w:eastAsia="gobCL" w:hAnsi="gobCL" w:cs="gobCL"/>
          <w:color w:val="000000"/>
        </w:rPr>
        <w:t>0</w:t>
      </w:r>
      <w:r w:rsidRPr="00B2442B">
        <w:rPr>
          <w:rFonts w:ascii="gobCL" w:eastAsia="gobCL" w:hAnsi="gobCL" w:cs="gobCL"/>
        </w:rPr>
        <w:t>20</w:t>
      </w:r>
      <w:r w:rsidRPr="00B2442B">
        <w:rPr>
          <w:rFonts w:ascii="gobCL" w:eastAsia="gobCL" w:hAnsi="gobCL" w:cs="gobCL"/>
          <w:color w:val="000000"/>
        </w:rPr>
        <w:t>)</w:t>
      </w:r>
    </w:p>
    <w:p w14:paraId="7E26B5F0" w14:textId="76D98C1D" w:rsidR="002862B1" w:rsidRPr="00B2442B" w:rsidRDefault="007C48F8">
      <w:pPr>
        <w:pBdr>
          <w:top w:val="nil"/>
          <w:left w:val="nil"/>
          <w:bottom w:val="nil"/>
          <w:right w:val="nil"/>
          <w:between w:val="nil"/>
        </w:pBdr>
        <w:spacing w:after="0" w:line="276" w:lineRule="auto"/>
        <w:jc w:val="both"/>
        <w:rPr>
          <w:rFonts w:ascii="gobCL" w:eastAsia="gobCL" w:hAnsi="gobCL" w:cs="gobCL"/>
          <w:color w:val="000000"/>
        </w:rPr>
      </w:pPr>
      <w:r w:rsidRPr="00B2442B">
        <w:rPr>
          <w:rFonts w:ascii="gobCL" w:eastAsia="gobCL" w:hAnsi="gobCL" w:cs="gobCL"/>
          <w:color w:val="000000"/>
        </w:rPr>
        <w:t xml:space="preserve">Para las empresas que iniciaron actividades a partir de </w:t>
      </w:r>
      <w:r w:rsidR="00186789">
        <w:rPr>
          <w:rFonts w:ascii="gobCL" w:eastAsia="gobCL" w:hAnsi="gobCL" w:cs="gobCL"/>
        </w:rPr>
        <w:t>n</w:t>
      </w:r>
      <w:r w:rsidR="00946E95">
        <w:rPr>
          <w:rFonts w:ascii="gobCL" w:eastAsia="gobCL" w:hAnsi="gobCL" w:cs="gobCL"/>
        </w:rPr>
        <w:t>oviembre de 2018</w:t>
      </w:r>
      <w:r w:rsidRPr="00B2442B">
        <w:rPr>
          <w:rFonts w:ascii="gobCL" w:eastAsia="gobCL" w:hAnsi="gobCL" w:cs="gobCL"/>
          <w:color w:val="000000"/>
        </w:rPr>
        <w:t>, se utilizará los siguientes periodos: promedio de ventas del período 1 (</w:t>
      </w:r>
      <w:r w:rsidR="00186789">
        <w:rPr>
          <w:rFonts w:ascii="gobCL" w:eastAsia="gobCL" w:hAnsi="gobCL" w:cs="gobCL"/>
        </w:rPr>
        <w:t>o</w:t>
      </w:r>
      <w:r w:rsidR="00F33242">
        <w:rPr>
          <w:rFonts w:ascii="gobCL" w:eastAsia="gobCL" w:hAnsi="gobCL" w:cs="gobCL"/>
        </w:rPr>
        <w:t>ctubre</w:t>
      </w:r>
      <w:r w:rsidR="00BD19DD" w:rsidRPr="00B2442B">
        <w:rPr>
          <w:rFonts w:ascii="gobCL" w:eastAsia="gobCL" w:hAnsi="gobCL" w:cs="gobCL"/>
        </w:rPr>
        <w:t xml:space="preserve"> </w:t>
      </w:r>
      <w:r w:rsidRPr="00B2442B">
        <w:rPr>
          <w:rFonts w:ascii="gobCL" w:eastAsia="gobCL" w:hAnsi="gobCL" w:cs="gobCL"/>
        </w:rPr>
        <w:t xml:space="preserve">2019 - </w:t>
      </w:r>
      <w:r w:rsidR="00186789">
        <w:rPr>
          <w:rFonts w:ascii="gobCL" w:eastAsia="gobCL" w:hAnsi="gobCL" w:cs="gobCL"/>
        </w:rPr>
        <w:t>d</w:t>
      </w:r>
      <w:r w:rsidR="00F33242">
        <w:rPr>
          <w:rFonts w:ascii="gobCL" w:eastAsia="gobCL" w:hAnsi="gobCL" w:cs="gobCL"/>
        </w:rPr>
        <w:t>iciembre</w:t>
      </w:r>
      <w:r w:rsidRPr="00B2442B">
        <w:rPr>
          <w:rFonts w:ascii="gobCL" w:eastAsia="gobCL" w:hAnsi="gobCL" w:cs="gobCL"/>
        </w:rPr>
        <w:t xml:space="preserve"> 20</w:t>
      </w:r>
      <w:r w:rsidR="00F33242">
        <w:rPr>
          <w:rFonts w:ascii="gobCL" w:eastAsia="gobCL" w:hAnsi="gobCL" w:cs="gobCL"/>
        </w:rPr>
        <w:t>19</w:t>
      </w:r>
      <w:r w:rsidRPr="00B2442B">
        <w:rPr>
          <w:rFonts w:ascii="gobCL" w:eastAsia="gobCL" w:hAnsi="gobCL" w:cs="gobCL"/>
          <w:color w:val="000000"/>
        </w:rPr>
        <w:t>) con las ventas del período 2 (</w:t>
      </w:r>
      <w:r w:rsidR="00186789">
        <w:rPr>
          <w:rFonts w:ascii="gobCL" w:eastAsia="gobCL" w:hAnsi="gobCL" w:cs="gobCL"/>
          <w:color w:val="000000"/>
        </w:rPr>
        <w:t>e</w:t>
      </w:r>
      <w:r w:rsidR="00F85DF9">
        <w:rPr>
          <w:rFonts w:ascii="gobCL" w:eastAsia="gobCL" w:hAnsi="gobCL" w:cs="gobCL"/>
          <w:color w:val="000000"/>
        </w:rPr>
        <w:t>nero 2020</w:t>
      </w:r>
      <w:r w:rsidRPr="00B2442B">
        <w:rPr>
          <w:rFonts w:ascii="gobCL" w:eastAsia="gobCL" w:hAnsi="gobCL" w:cs="gobCL"/>
        </w:rPr>
        <w:t xml:space="preserve"> -</w:t>
      </w:r>
      <w:r w:rsidRPr="00B2442B">
        <w:rPr>
          <w:rFonts w:ascii="gobCL" w:eastAsia="gobCL" w:hAnsi="gobCL" w:cs="gobCL"/>
          <w:color w:val="000000"/>
        </w:rPr>
        <w:t xml:space="preserve"> </w:t>
      </w:r>
      <w:r w:rsidR="00186789">
        <w:rPr>
          <w:rFonts w:ascii="gobCL" w:eastAsia="gobCL" w:hAnsi="gobCL" w:cs="gobCL"/>
          <w:color w:val="000000"/>
        </w:rPr>
        <w:t>m</w:t>
      </w:r>
      <w:r w:rsidR="00F33242">
        <w:rPr>
          <w:rFonts w:ascii="gobCL" w:eastAsia="gobCL" w:hAnsi="gobCL" w:cs="gobCL"/>
          <w:color w:val="000000"/>
        </w:rPr>
        <w:t>arzo</w:t>
      </w:r>
      <w:r w:rsidRPr="00B2442B">
        <w:rPr>
          <w:rFonts w:ascii="gobCL" w:eastAsia="gobCL" w:hAnsi="gobCL" w:cs="gobCL"/>
          <w:color w:val="000000"/>
        </w:rPr>
        <w:t xml:space="preserve"> 2020).</w:t>
      </w:r>
    </w:p>
    <w:p w14:paraId="2E1EA236" w14:textId="7BB9EA9E" w:rsidR="002862B1" w:rsidRDefault="007C48F8">
      <w:pPr>
        <w:spacing w:before="240" w:after="240" w:line="240" w:lineRule="auto"/>
        <w:jc w:val="both"/>
        <w:rPr>
          <w:rFonts w:ascii="gobCL" w:eastAsia="gobCL" w:hAnsi="gobCL" w:cs="gobCL"/>
          <w:b/>
          <w:color w:val="000000"/>
        </w:rPr>
      </w:pPr>
      <w:r>
        <w:rPr>
          <w:rFonts w:ascii="gobCL" w:eastAsia="gobCL" w:hAnsi="gobCL" w:cs="gobCL"/>
          <w:b/>
        </w:rPr>
        <w:lastRenderedPageBreak/>
        <w:t xml:space="preserve">b.3. Debe tener iniciación de actividades </w:t>
      </w:r>
      <w:r w:rsidR="00946E95">
        <w:rPr>
          <w:rFonts w:ascii="gobCL" w:eastAsia="gobCL" w:hAnsi="gobCL" w:cs="gobCL"/>
          <w:b/>
        </w:rPr>
        <w:t>hasta</w:t>
      </w:r>
      <w:r>
        <w:rPr>
          <w:rFonts w:ascii="gobCL" w:eastAsia="gobCL" w:hAnsi="gobCL" w:cs="gobCL"/>
          <w:b/>
        </w:rPr>
        <w:t xml:space="preserve"> </w:t>
      </w:r>
      <w:r w:rsidRPr="00B2442B">
        <w:rPr>
          <w:rFonts w:ascii="gobCL" w:eastAsia="gobCL" w:hAnsi="gobCL" w:cs="gobCL"/>
          <w:b/>
        </w:rPr>
        <w:t xml:space="preserve">el mes de </w:t>
      </w:r>
      <w:r w:rsidR="00186789">
        <w:rPr>
          <w:rFonts w:ascii="gobCL" w:eastAsia="gobCL" w:hAnsi="gobCL" w:cs="gobCL"/>
          <w:b/>
        </w:rPr>
        <w:t>o</w:t>
      </w:r>
      <w:r w:rsidR="000F43A2">
        <w:rPr>
          <w:rFonts w:ascii="gobCL" w:eastAsia="gobCL" w:hAnsi="gobCL" w:cs="gobCL"/>
          <w:b/>
        </w:rPr>
        <w:t>ctubre</w:t>
      </w:r>
      <w:r w:rsidR="006A1204" w:rsidRPr="00B2442B">
        <w:rPr>
          <w:rFonts w:ascii="gobCL" w:eastAsia="gobCL" w:hAnsi="gobCL" w:cs="gobCL"/>
          <w:b/>
        </w:rPr>
        <w:t xml:space="preserve"> </w:t>
      </w:r>
      <w:r w:rsidRPr="00B2442B">
        <w:rPr>
          <w:rFonts w:ascii="gobCL" w:eastAsia="gobCL" w:hAnsi="gobCL" w:cs="gobCL"/>
          <w:b/>
        </w:rPr>
        <w:t>de 2019.</w:t>
      </w:r>
      <w:r>
        <w:rPr>
          <w:rFonts w:ascii="gobCL" w:eastAsia="gobCL" w:hAnsi="gobCL" w:cs="gobCL"/>
          <w:b/>
          <w:color w:val="000000"/>
        </w:rPr>
        <w:t xml:space="preserve"> </w:t>
      </w:r>
    </w:p>
    <w:p w14:paraId="6841CC5A" w14:textId="77777777" w:rsidR="002862B1" w:rsidRDefault="007C48F8">
      <w:pPr>
        <w:spacing w:before="240" w:after="240" w:line="240" w:lineRule="auto"/>
        <w:jc w:val="both"/>
        <w:rPr>
          <w:rFonts w:ascii="gobCL" w:eastAsia="gobCL" w:hAnsi="gobCL" w:cs="gobCL"/>
          <w:b/>
          <w:color w:val="000000"/>
        </w:rPr>
      </w:pPr>
      <w:r>
        <w:rPr>
          <w:rFonts w:ascii="gobCL" w:eastAsia="gobCL" w:hAnsi="gobCL" w:cs="gobCL"/>
          <w:b/>
          <w:color w:val="000000"/>
        </w:rPr>
        <w:t>b.4. Tener domicilio comercial en la región de la presente convocatoria. El plan de inversión debe ser implementado en la misma región.</w:t>
      </w:r>
    </w:p>
    <w:tbl>
      <w:tblPr>
        <w:tblStyle w:val="ad"/>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14:paraId="1B6C5F52" w14:textId="77777777">
        <w:tc>
          <w:tcPr>
            <w:tcW w:w="8789" w:type="dxa"/>
            <w:shd w:val="clear" w:color="auto" w:fill="D9D9D9"/>
          </w:tcPr>
          <w:p w14:paraId="3F4997A0" w14:textId="77777777" w:rsidR="002862B1" w:rsidRDefault="007C48F8">
            <w:pPr>
              <w:jc w:val="both"/>
              <w:rPr>
                <w:rFonts w:ascii="gobCL" w:eastAsia="gobCL" w:hAnsi="gobCL" w:cs="gobCL"/>
                <w:b/>
                <w:sz w:val="22"/>
                <w:szCs w:val="22"/>
                <w:u w:val="single"/>
              </w:rPr>
            </w:pPr>
            <w:r>
              <w:rPr>
                <w:rFonts w:ascii="gobCL" w:eastAsia="gobCL" w:hAnsi="gobCL" w:cs="gobCL"/>
                <w:b/>
                <w:sz w:val="22"/>
                <w:szCs w:val="22"/>
                <w:u w:val="single"/>
              </w:rPr>
              <w:t>IMPORTANTE</w:t>
            </w:r>
          </w:p>
          <w:p w14:paraId="054AA36E" w14:textId="3BE06DE7" w:rsidR="002862B1" w:rsidRDefault="007C48F8">
            <w:pPr>
              <w:jc w:val="both"/>
              <w:rPr>
                <w:rFonts w:ascii="gobCL" w:eastAsia="gobCL" w:hAnsi="gobCL" w:cs="gobCL"/>
              </w:rPr>
            </w:pPr>
            <w:r>
              <w:rPr>
                <w:rFonts w:ascii="gobCL" w:eastAsia="gobCL" w:hAnsi="gobCL" w:cs="gobCL"/>
                <w:sz w:val="22"/>
                <w:szCs w:val="22"/>
              </w:rPr>
              <w:t>Cabe mencionar que aquellas empresas que hayan iniciado actividades en primera</w:t>
            </w:r>
            <w:r w:rsidR="0064611B">
              <w:rPr>
                <w:rFonts w:ascii="gobCL" w:eastAsia="gobCL" w:hAnsi="gobCL" w:cs="gobCL"/>
                <w:sz w:val="22"/>
                <w:szCs w:val="22"/>
              </w:rPr>
              <w:t xml:space="preserve"> </w:t>
            </w:r>
            <w:r>
              <w:rPr>
                <w:rFonts w:ascii="gobCL" w:eastAsia="gobCL" w:hAnsi="gobCL" w:cs="gobCL"/>
                <w:sz w:val="22"/>
                <w:szCs w:val="22"/>
              </w:rPr>
              <w:t xml:space="preserve"> categoría </w:t>
            </w:r>
            <w:r w:rsidR="00E3667C" w:rsidRPr="00C97970">
              <w:rPr>
                <w:rFonts w:ascii="gobCL" w:eastAsia="gobCL" w:hAnsi="gobCL" w:cs="gobCL"/>
                <w:sz w:val="22"/>
                <w:szCs w:val="22"/>
              </w:rPr>
              <w:t>con posterioridad</w:t>
            </w:r>
            <w:r w:rsidR="00E3667C">
              <w:rPr>
                <w:rFonts w:ascii="gobCL" w:eastAsia="gobCL" w:hAnsi="gobCL" w:cs="gobCL"/>
                <w:sz w:val="22"/>
                <w:szCs w:val="22"/>
              </w:rPr>
              <w:t xml:space="preserve"> a</w:t>
            </w:r>
            <w:r>
              <w:rPr>
                <w:rFonts w:ascii="gobCL" w:eastAsia="gobCL" w:hAnsi="gobCL" w:cs="gobCL"/>
                <w:sz w:val="22"/>
                <w:szCs w:val="22"/>
              </w:rPr>
              <w:t xml:space="preserve"> octubre de 2019 o con ventas netas iguales a 0 (cero) o superiores a 25.000 UF o aquellas que presenten menos de un </w:t>
            </w:r>
            <w:r w:rsidR="003A0EDB">
              <w:rPr>
                <w:rFonts w:ascii="gobCL" w:eastAsia="gobCL" w:hAnsi="gobCL" w:cs="gobCL"/>
                <w:sz w:val="22"/>
                <w:szCs w:val="22"/>
              </w:rPr>
              <w:t>2</w:t>
            </w:r>
            <w:r>
              <w:rPr>
                <w:rFonts w:ascii="gobCL" w:eastAsia="gobCL" w:hAnsi="gobCL" w:cs="gobCL"/>
                <w:sz w:val="22"/>
                <w:szCs w:val="22"/>
              </w:rPr>
              <w:t>0% de disminución de ventas en el período evaluado, serán declaradas inadmisibles.</w:t>
            </w:r>
          </w:p>
        </w:tc>
      </w:tr>
    </w:tbl>
    <w:p w14:paraId="279194A6" w14:textId="77777777" w:rsidR="002862B1" w:rsidRDefault="007C48F8">
      <w:pPr>
        <w:spacing w:before="240" w:after="240" w:line="276" w:lineRule="auto"/>
        <w:jc w:val="both"/>
        <w:rPr>
          <w:rFonts w:ascii="gobCL" w:eastAsia="gobCL" w:hAnsi="gobCL" w:cs="gobCL"/>
          <w:b/>
          <w:u w:val="single"/>
        </w:rPr>
      </w:pPr>
      <w:r>
        <w:rPr>
          <w:rFonts w:ascii="gobCL" w:eastAsia="gobCL" w:hAnsi="gobCL" w:cs="gobCL"/>
          <w:b/>
          <w:u w:val="single"/>
        </w:rPr>
        <w:t>2.1.2. Requisitos de formalización:</w:t>
      </w:r>
    </w:p>
    <w:p w14:paraId="17005F33" w14:textId="77777777" w:rsidR="002862B1" w:rsidRDefault="007C48F8">
      <w:pPr>
        <w:spacing w:before="240" w:after="240"/>
        <w:jc w:val="both"/>
        <w:rPr>
          <w:rFonts w:ascii="gobCL" w:eastAsia="gobCL" w:hAnsi="gobCL" w:cs="gobCL"/>
        </w:rPr>
      </w:pPr>
      <w:r>
        <w:rPr>
          <w:rFonts w:ascii="gobCL" w:eastAsia="gobCL" w:hAnsi="gobCL" w:cs="gobCL"/>
        </w:rPr>
        <w:t>Las empresas deben cumplir con los siguientes requisitos:</w:t>
      </w:r>
    </w:p>
    <w:p w14:paraId="0450F887" w14:textId="77777777" w:rsidR="002862B1"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Pr>
          <w:rFonts w:ascii="gobCL" w:eastAsia="gobCL" w:hAnsi="gobCL" w:cs="gobCL"/>
          <w:color w:val="000000"/>
        </w:rPr>
        <w:t>En caso de ser persona jurídica, ésta deberá estar legalmente constituida, para lo cual debe adjuntar los documentos de su constitución y los antecedentes donde conste la personería del representante legal al momento de la formalización.</w:t>
      </w:r>
    </w:p>
    <w:p w14:paraId="315B1415" w14:textId="16BFD84F" w:rsidR="002862B1" w:rsidRDefault="007C48F8">
      <w:pPr>
        <w:numPr>
          <w:ilvl w:val="0"/>
          <w:numId w:val="7"/>
        </w:numPr>
        <w:spacing w:before="240" w:after="240" w:line="240" w:lineRule="auto"/>
        <w:jc w:val="both"/>
        <w:rPr>
          <w:rFonts w:ascii="gobCL" w:eastAsia="gobCL" w:hAnsi="gobCL" w:cs="gobCL"/>
        </w:rPr>
      </w:pPr>
      <w:r>
        <w:rPr>
          <w:rFonts w:ascii="gobCL" w:eastAsia="gobCL" w:hAnsi="gobCL" w:cs="gobCL"/>
        </w:rPr>
        <w:t>El empresario/a seleccionado, en conjunto con el AOS, debe definir su Plan de Inversión (cuadro presupuestario y programación de gastos), documento que deberá ser presentado al AOS y validado por el ejecutivo/a de fomento previo a la firma de contrato. El formato est</w:t>
      </w:r>
      <w:r w:rsidR="0064611B">
        <w:rPr>
          <w:rFonts w:ascii="gobCL" w:eastAsia="gobCL" w:hAnsi="gobCL" w:cs="gobCL"/>
        </w:rPr>
        <w:t>á</w:t>
      </w:r>
      <w:r>
        <w:rPr>
          <w:rFonts w:ascii="gobCL" w:eastAsia="gobCL" w:hAnsi="gobCL" w:cs="gobCL"/>
        </w:rPr>
        <w:t xml:space="preserve"> disponible en el Anexo N°2, y servirá de base para el proceso de rendición de gastos. </w:t>
      </w:r>
    </w:p>
    <w:p w14:paraId="0E1E3695" w14:textId="305E70CA" w:rsidR="002862B1" w:rsidRDefault="007C48F8">
      <w:pPr>
        <w:numPr>
          <w:ilvl w:val="0"/>
          <w:numId w:val="7"/>
        </w:numPr>
        <w:spacing w:before="240" w:after="240" w:line="240" w:lineRule="auto"/>
        <w:jc w:val="both"/>
        <w:rPr>
          <w:rFonts w:ascii="gobCL" w:eastAsia="gobCL" w:hAnsi="gobCL" w:cs="gobCL"/>
        </w:rPr>
      </w:pPr>
      <w:bookmarkStart w:id="2" w:name="_heading=h.1fob9te" w:colFirst="0" w:colLast="0"/>
      <w:bookmarkEnd w:id="2"/>
      <w:r>
        <w:rPr>
          <w:rFonts w:ascii="gobCL" w:eastAsia="gobCL" w:hAnsi="gobCL" w:cs="gobCL"/>
        </w:rPr>
        <w:t>No tener deudas laborales o previsionales ni multas impagas, asociadas al Rut de la empresa postulante, al momento de la formalización. Se entiende cumplido este requisito si la empresa presenta un comprobante de pago</w:t>
      </w:r>
      <w:r w:rsidR="001B08EB">
        <w:rPr>
          <w:rFonts w:ascii="gobCL" w:eastAsia="gobCL" w:hAnsi="gobCL" w:cs="gobCL"/>
        </w:rPr>
        <w:t xml:space="preserve"> correspondiente a </w:t>
      </w:r>
      <w:r>
        <w:rPr>
          <w:rFonts w:ascii="gobCL" w:eastAsia="gobCL" w:hAnsi="gobCL" w:cs="gobCL"/>
        </w:rPr>
        <w:t xml:space="preserve">la deuda que aparece en el F30, con una fecha posterior a la emisión de ese certificado. </w:t>
      </w:r>
    </w:p>
    <w:p w14:paraId="461C6A11" w14:textId="34334542" w:rsidR="002862B1" w:rsidRPr="00B2442B" w:rsidRDefault="007C48F8">
      <w:pPr>
        <w:numPr>
          <w:ilvl w:val="0"/>
          <w:numId w:val="7"/>
        </w:numPr>
        <w:pBdr>
          <w:top w:val="nil"/>
          <w:left w:val="nil"/>
          <w:bottom w:val="nil"/>
          <w:right w:val="nil"/>
          <w:between w:val="nil"/>
        </w:pBdr>
        <w:spacing w:after="0"/>
        <w:jc w:val="both"/>
        <w:rPr>
          <w:rFonts w:ascii="gobCL" w:eastAsia="gobCL" w:hAnsi="gobCL" w:cs="gobCL"/>
          <w:color w:val="000000"/>
        </w:rPr>
      </w:pPr>
      <w:r>
        <w:rPr>
          <w:rFonts w:ascii="gobCL" w:eastAsia="gobCL" w:hAnsi="gobCL" w:cs="gobCL"/>
        </w:rPr>
        <w:t xml:space="preserve">Suscripción de Declaración jurada de no consanguinidad en la rendición de gastos, Anexo N°3.  </w:t>
      </w:r>
    </w:p>
    <w:p w14:paraId="2DF4D6AF" w14:textId="77777777" w:rsidR="0064611B" w:rsidRPr="00B2442B" w:rsidRDefault="0064611B" w:rsidP="00B2442B">
      <w:pPr>
        <w:pBdr>
          <w:top w:val="nil"/>
          <w:left w:val="nil"/>
          <w:bottom w:val="nil"/>
          <w:right w:val="nil"/>
          <w:between w:val="nil"/>
        </w:pBdr>
        <w:spacing w:after="0"/>
        <w:ind w:left="720"/>
        <w:jc w:val="both"/>
        <w:rPr>
          <w:rFonts w:ascii="gobCL" w:eastAsia="gobCL" w:hAnsi="gobCL" w:cs="gobCL"/>
          <w:color w:val="000000"/>
        </w:rPr>
      </w:pPr>
    </w:p>
    <w:p w14:paraId="5269E778" w14:textId="77777777" w:rsidR="0064611B" w:rsidRPr="0064611B" w:rsidRDefault="0064611B" w:rsidP="0064611B">
      <w:pPr>
        <w:pStyle w:val="Prrafodelista"/>
        <w:numPr>
          <w:ilvl w:val="0"/>
          <w:numId w:val="7"/>
        </w:numPr>
        <w:rPr>
          <w:rFonts w:ascii="gobCL" w:eastAsia="gobCL" w:hAnsi="gobCL" w:cs="gobCL"/>
          <w:color w:val="000000"/>
        </w:rPr>
      </w:pPr>
      <w:r w:rsidRPr="0064611B">
        <w:rPr>
          <w:rFonts w:ascii="gobCL" w:eastAsia="gobCL" w:hAnsi="gobCL" w:cs="gobCL"/>
          <w:color w:val="000000"/>
        </w:rPr>
        <w:t xml:space="preserve">Suscripción de Declaración jurada de probidad según el 2.2. de las bases, Anexo N°4 </w:t>
      </w:r>
    </w:p>
    <w:p w14:paraId="4B1DF833" w14:textId="77777777" w:rsidR="002862B1"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Pr>
          <w:rFonts w:ascii="gobCL" w:eastAsia="gobCL" w:hAnsi="gobCL" w:cs="gobCL"/>
          <w:color w:val="000000"/>
        </w:rPr>
        <w:t xml:space="preserve">No tener rendiciones pendientes con Sercotec y/o con el AOS, </w:t>
      </w:r>
      <w:r>
        <w:rPr>
          <w:rFonts w:ascii="gobCL" w:eastAsia="gobCL" w:hAnsi="gobCL" w:cs="gobCL"/>
          <w:b/>
          <w:color w:val="000000"/>
        </w:rPr>
        <w:t>a la fecha la formalización.</w:t>
      </w:r>
    </w:p>
    <w:p w14:paraId="57C79730" w14:textId="77777777" w:rsidR="002862B1" w:rsidRDefault="002862B1">
      <w:pPr>
        <w:pBdr>
          <w:top w:val="nil"/>
          <w:left w:val="nil"/>
          <w:bottom w:val="nil"/>
          <w:right w:val="nil"/>
          <w:between w:val="nil"/>
        </w:pBdr>
        <w:spacing w:after="0" w:line="276" w:lineRule="auto"/>
        <w:ind w:left="720" w:hanging="720"/>
        <w:jc w:val="both"/>
        <w:rPr>
          <w:rFonts w:ascii="gobCL" w:eastAsia="gobCL" w:hAnsi="gobCL" w:cs="gobCL"/>
          <w:color w:val="000000"/>
        </w:rPr>
      </w:pPr>
    </w:p>
    <w:p w14:paraId="458BAA7E" w14:textId="63D2A93C" w:rsidR="0064611B" w:rsidRDefault="007C48F8" w:rsidP="00C97970">
      <w:pPr>
        <w:numPr>
          <w:ilvl w:val="0"/>
          <w:numId w:val="7"/>
        </w:numPr>
        <w:pBdr>
          <w:top w:val="nil"/>
          <w:left w:val="nil"/>
          <w:bottom w:val="nil"/>
          <w:right w:val="nil"/>
          <w:between w:val="nil"/>
        </w:pBdr>
        <w:spacing w:after="0"/>
        <w:jc w:val="both"/>
        <w:rPr>
          <w:rFonts w:ascii="gobCL" w:eastAsia="gobCL" w:hAnsi="gobCL" w:cs="gobCL"/>
          <w:color w:val="000000"/>
        </w:rPr>
      </w:pPr>
      <w:r>
        <w:rPr>
          <w:rFonts w:ascii="gobCL" w:eastAsia="gobCL" w:hAnsi="gobCL" w:cs="gobCL"/>
          <w:color w:val="000000"/>
        </w:rPr>
        <w:t xml:space="preserve">No haber sido beneficiario de </w:t>
      </w:r>
      <w:r w:rsidR="00F11DEE">
        <w:rPr>
          <w:rFonts w:ascii="gobCL" w:eastAsia="gobCL" w:hAnsi="gobCL" w:cs="gobCL"/>
        </w:rPr>
        <w:t>n</w:t>
      </w:r>
      <w:r w:rsidR="00F33242">
        <w:rPr>
          <w:rFonts w:ascii="gobCL" w:eastAsia="gobCL" w:hAnsi="gobCL" w:cs="gobCL"/>
        </w:rPr>
        <w:t xml:space="preserve">inguna </w:t>
      </w:r>
      <w:r>
        <w:rPr>
          <w:rFonts w:ascii="gobCL" w:eastAsia="gobCL" w:hAnsi="gobCL" w:cs="gobCL"/>
          <w:color w:val="000000"/>
        </w:rPr>
        <w:t>convocatoria Reactívate con Sercotec 2020</w:t>
      </w:r>
      <w:r w:rsidR="0064611B">
        <w:rPr>
          <w:rFonts w:ascii="gobCL" w:eastAsia="gobCL" w:hAnsi="gobCL" w:cs="gobCL"/>
          <w:color w:val="000000"/>
        </w:rPr>
        <w:t xml:space="preserve"> (primera versión)</w:t>
      </w:r>
      <w:r>
        <w:rPr>
          <w:rFonts w:ascii="gobCL" w:eastAsia="gobCL" w:hAnsi="gobCL" w:cs="gobCL"/>
          <w:color w:val="000000"/>
        </w:rPr>
        <w:t>.</w:t>
      </w:r>
    </w:p>
    <w:p w14:paraId="5F628565" w14:textId="0DD456B2" w:rsidR="00863EF8" w:rsidRDefault="00863EF8">
      <w:pPr>
        <w:spacing w:before="240" w:after="240"/>
        <w:jc w:val="both"/>
        <w:rPr>
          <w:rFonts w:ascii="gobCL" w:eastAsia="gobCL" w:hAnsi="gobCL" w:cs="gobCL"/>
          <w:b/>
        </w:rPr>
      </w:pPr>
    </w:p>
    <w:p w14:paraId="260EAC3A" w14:textId="1BF20470" w:rsidR="00033F1A" w:rsidRDefault="00033F1A">
      <w:pPr>
        <w:spacing w:before="240" w:after="240"/>
        <w:jc w:val="both"/>
        <w:rPr>
          <w:rFonts w:ascii="gobCL" w:eastAsia="gobCL" w:hAnsi="gobCL" w:cs="gobCL"/>
          <w:b/>
        </w:rPr>
      </w:pPr>
    </w:p>
    <w:p w14:paraId="2EA10E96" w14:textId="73B9586C" w:rsidR="00033F1A" w:rsidRDefault="00033F1A">
      <w:pPr>
        <w:spacing w:before="240" w:after="240"/>
        <w:jc w:val="both"/>
        <w:rPr>
          <w:rFonts w:ascii="gobCL" w:eastAsia="gobCL" w:hAnsi="gobCL" w:cs="gobCL"/>
          <w:b/>
        </w:rPr>
      </w:pPr>
      <w:bookmarkStart w:id="3" w:name="_GoBack"/>
      <w:bookmarkEnd w:id="3"/>
    </w:p>
    <w:p w14:paraId="28820F76" w14:textId="77777777" w:rsidR="00033F1A" w:rsidRDefault="00033F1A">
      <w:pPr>
        <w:spacing w:before="240" w:after="240"/>
        <w:jc w:val="both"/>
        <w:rPr>
          <w:rFonts w:ascii="gobCL" w:eastAsia="gobCL" w:hAnsi="gobCL" w:cs="gobCL"/>
          <w:b/>
        </w:rPr>
      </w:pPr>
    </w:p>
    <w:p w14:paraId="5EB58F79" w14:textId="19773DBD" w:rsidR="002862B1" w:rsidRDefault="007C48F8">
      <w:pPr>
        <w:spacing w:before="240" w:after="240"/>
        <w:jc w:val="both"/>
        <w:rPr>
          <w:rFonts w:ascii="gobCL" w:eastAsia="gobCL" w:hAnsi="gobCL" w:cs="gobCL"/>
          <w:b/>
        </w:rPr>
      </w:pPr>
      <w:r>
        <w:rPr>
          <w:rFonts w:ascii="gobCL" w:eastAsia="gobCL" w:hAnsi="gobCL" w:cs="gobCL"/>
          <w:b/>
        </w:rPr>
        <w:lastRenderedPageBreak/>
        <w:t>2.2. ¿Quiénes NO pueden participar del programa?</w:t>
      </w:r>
    </w:p>
    <w:p w14:paraId="764E0DAA" w14:textId="77777777" w:rsidR="002862B1" w:rsidRDefault="007C48F8">
      <w:pPr>
        <w:spacing w:before="240" w:after="240"/>
        <w:jc w:val="both"/>
        <w:rPr>
          <w:rFonts w:ascii="gobCL" w:eastAsia="gobCL" w:hAnsi="gobCL" w:cs="gobCL"/>
        </w:rPr>
      </w:pPr>
      <w:r>
        <w:rPr>
          <w:rFonts w:ascii="gobCL" w:eastAsia="gobCL" w:hAnsi="gobCL" w:cs="gobCL"/>
        </w:rPr>
        <w:t>No pueden participar en este Programa</w:t>
      </w:r>
      <w:r>
        <w:rPr>
          <w:rFonts w:ascii="gobCL" w:eastAsia="gobCL" w:hAnsi="gobCL" w:cs="gobCL"/>
          <w:vertAlign w:val="superscript"/>
        </w:rPr>
        <w:footnoteReference w:id="1"/>
      </w:r>
      <w:r>
        <w:rPr>
          <w:rFonts w:ascii="gobCL" w:eastAsia="gobCL" w:hAnsi="gobCL" w:cs="gobCL"/>
        </w:rPr>
        <w:t>:</w:t>
      </w:r>
    </w:p>
    <w:p w14:paraId="2B6F2480"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Las personas naturales que tengan contrato vigente, incluso a honorarios, con Sercotec, o con el AOS a cargo de la convocatoria, o quienes participen en la asignación de recursos correspondientes a la convocatoria, ya sea que este contrato se celebre con anterioridad a la postulación o durante el proceso de evaluación y selección.</w:t>
      </w:r>
    </w:p>
    <w:p w14:paraId="61D81226"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El/la cónyuge o conviviente civil, y los parientes hasta el tercer grado de consanguinidad y segundo de afinidad inclusive respecto del personal directivo de Sercotec, o del personal del AOS a cargo de la convocatoria o de quienes participen en la asignación de recursos correspondientes a la presente convocatoria.</w:t>
      </w:r>
    </w:p>
    <w:p w14:paraId="393D18DE"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El/la gerente/a, administrador/a, representante, director o socio de sociedades en que tenga participación el personal de Sercotec, o del AOS a cargo de la convocatoria o de quienes participen en la asignación de recursos correspondientes a la convocatoria o personas unidas a ellos por vínculos de parentesco hasta tercer grado de consanguinidad y segundo de afinidad inclusive.</w:t>
      </w:r>
    </w:p>
    <w:p w14:paraId="77EFC70D"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4E18088B" w14:textId="77777777" w:rsidR="002862B1" w:rsidRDefault="007C48F8">
      <w:pPr>
        <w:numPr>
          <w:ilvl w:val="0"/>
          <w:numId w:val="8"/>
        </w:numPr>
        <w:spacing w:before="240" w:after="240" w:line="240" w:lineRule="auto"/>
        <w:jc w:val="both"/>
        <w:rPr>
          <w:rFonts w:ascii="gobCL" w:eastAsia="gobCL" w:hAnsi="gobCL" w:cs="gobCL"/>
        </w:rPr>
      </w:pPr>
      <w:r>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Default="007C48F8">
      <w:pPr>
        <w:spacing w:before="240" w:after="240"/>
        <w:jc w:val="both"/>
        <w:rPr>
          <w:rFonts w:ascii="gobCL" w:eastAsia="gobCL" w:hAnsi="gobCL" w:cs="gobCL"/>
          <w:b/>
        </w:rPr>
      </w:pPr>
      <w:r>
        <w:rPr>
          <w:rFonts w:ascii="gobCL" w:eastAsia="gobCL" w:hAnsi="gobCL" w:cs="gobCL"/>
          <w:b/>
        </w:rPr>
        <w:t>2.3. ¿En qué consiste?</w:t>
      </w:r>
    </w:p>
    <w:p w14:paraId="44F907CE" w14:textId="61A46F8C" w:rsidR="006A1204" w:rsidRPr="003F3281" w:rsidRDefault="006A1204" w:rsidP="006A1204">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Pr>
          <w:rFonts w:ascii="gobCL" w:eastAsia="Batang" w:hAnsi="gobCL" w:cs="Arial"/>
        </w:rPr>
        <w:t>10</w:t>
      </w:r>
      <w:r w:rsidRPr="003F3281">
        <w:rPr>
          <w:rFonts w:ascii="gobCL" w:eastAsia="Batang" w:hAnsi="gobCL" w:cs="Arial"/>
        </w:rPr>
        <w:t>.000.000.- (</w:t>
      </w:r>
      <w:r w:rsidR="001D1D58">
        <w:rPr>
          <w:rFonts w:ascii="gobCL" w:eastAsia="Batang" w:hAnsi="gobCL" w:cs="Arial"/>
        </w:rPr>
        <w:t>d</w:t>
      </w:r>
      <w:r>
        <w:rPr>
          <w:rFonts w:ascii="gobCL" w:eastAsia="Batang" w:hAnsi="gobCL" w:cs="Arial"/>
        </w:rPr>
        <w:t>iez</w:t>
      </w:r>
      <w:r w:rsidRPr="003F3281">
        <w:rPr>
          <w:rFonts w:ascii="gobCL" w:eastAsia="Batang" w:hAnsi="gobCL" w:cs="Arial"/>
        </w:rPr>
        <w:t xml:space="preserve"> millones de pesos), que busca reactivar la actividad económica de los beneficiarios, cuyo monto dependerá del nivel de ventas de la empresa, </w:t>
      </w:r>
      <w:r>
        <w:rPr>
          <w:rFonts w:ascii="gobCL" w:eastAsia="Batang" w:hAnsi="gobCL" w:cs="Arial"/>
        </w:rPr>
        <w:t xml:space="preserve">que se calcula con la información contenida en la carpeta tributaria, </w:t>
      </w:r>
      <w:r w:rsidRPr="003F3281">
        <w:rPr>
          <w:rFonts w:ascii="gobCL" w:eastAsia="Batang" w:hAnsi="gobCL" w:cs="Arial"/>
        </w:rPr>
        <w:t>tal como se detalla a continuación:</w:t>
      </w:r>
    </w:p>
    <w:p w14:paraId="7E108D2F" w14:textId="499EE562" w:rsidR="00F33242" w:rsidRDefault="00F33242">
      <w:pPr>
        <w:pBdr>
          <w:top w:val="nil"/>
          <w:left w:val="nil"/>
          <w:bottom w:val="nil"/>
          <w:right w:val="nil"/>
          <w:between w:val="nil"/>
        </w:pBdr>
        <w:spacing w:before="240" w:after="0" w:line="240" w:lineRule="auto"/>
        <w:ind w:hanging="720"/>
        <w:jc w:val="both"/>
        <w:rPr>
          <w:rFonts w:ascii="gobCL" w:eastAsia="gobCL" w:hAnsi="gobCL" w:cs="gobCL"/>
          <w:color w:val="000000"/>
        </w:rPr>
      </w:pPr>
    </w:p>
    <w:p w14:paraId="6FD2C899" w14:textId="77777777" w:rsidR="00C97970" w:rsidRDefault="00C97970">
      <w:pPr>
        <w:pBdr>
          <w:top w:val="nil"/>
          <w:left w:val="nil"/>
          <w:bottom w:val="nil"/>
          <w:right w:val="nil"/>
          <w:between w:val="nil"/>
        </w:pBdr>
        <w:spacing w:before="240" w:after="0" w:line="240" w:lineRule="auto"/>
        <w:ind w:hanging="720"/>
        <w:jc w:val="both"/>
        <w:rPr>
          <w:rFonts w:ascii="gobCL" w:eastAsia="gobCL" w:hAnsi="gobCL" w:cs="gobCL"/>
          <w:color w:val="000000"/>
        </w:rPr>
      </w:pPr>
    </w:p>
    <w:p w14:paraId="4B957C00" w14:textId="41357487" w:rsidR="002862B1" w:rsidRDefault="002862B1">
      <w:pPr>
        <w:pBdr>
          <w:top w:val="nil"/>
          <w:left w:val="nil"/>
          <w:bottom w:val="nil"/>
          <w:right w:val="nil"/>
          <w:between w:val="nil"/>
        </w:pBdr>
        <w:spacing w:before="240" w:after="0" w:line="240" w:lineRule="auto"/>
        <w:ind w:hanging="720"/>
        <w:jc w:val="both"/>
        <w:rPr>
          <w:rFonts w:ascii="gobCL" w:eastAsia="gobCL" w:hAnsi="gobCL" w:cs="gobCL"/>
        </w:rPr>
      </w:pPr>
    </w:p>
    <w:p w14:paraId="0FB2071E" w14:textId="77777777" w:rsidR="006A1204" w:rsidRPr="003F3281" w:rsidRDefault="006A1204" w:rsidP="006A1204">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lastRenderedPageBreak/>
        <w:t>Tabla 1: Monto de subsidio según ventas anuales</w:t>
      </w:r>
    </w:p>
    <w:tbl>
      <w:tblPr>
        <w:tblStyle w:val="Tablaconcuadrcula"/>
        <w:tblpPr w:leftFromText="141" w:rightFromText="141" w:vertAnchor="text" w:horzAnchor="page" w:tblpX="2941" w:tblpY="354"/>
        <w:tblW w:w="0" w:type="auto"/>
        <w:tblLayout w:type="fixed"/>
        <w:tblLook w:val="04A0" w:firstRow="1" w:lastRow="0" w:firstColumn="1" w:lastColumn="0" w:noHBand="0" w:noVBand="1"/>
      </w:tblPr>
      <w:tblGrid>
        <w:gridCol w:w="1657"/>
        <w:gridCol w:w="2272"/>
        <w:gridCol w:w="2436"/>
      </w:tblGrid>
      <w:tr w:rsidR="000F43A2" w:rsidRPr="003F3281" w14:paraId="4E204BFA" w14:textId="77777777" w:rsidTr="00C97970">
        <w:trPr>
          <w:trHeight w:val="299"/>
        </w:trPr>
        <w:tc>
          <w:tcPr>
            <w:tcW w:w="1657" w:type="dxa"/>
            <w:shd w:val="clear" w:color="auto" w:fill="D9D9D9" w:themeFill="background1" w:themeFillShade="D9"/>
          </w:tcPr>
          <w:p w14:paraId="35631E52" w14:textId="77777777" w:rsidR="000F43A2" w:rsidRPr="004E2589" w:rsidRDefault="000F43A2" w:rsidP="000F43A2">
            <w:pPr>
              <w:tabs>
                <w:tab w:val="left" w:pos="709"/>
              </w:tabs>
              <w:spacing w:after="160" w:line="259" w:lineRule="auto"/>
              <w:contextualSpacing/>
              <w:jc w:val="center"/>
              <w:rPr>
                <w:rFonts w:ascii="gobCL" w:eastAsia="Batang" w:hAnsi="gobCL" w:cs="Arial"/>
                <w:lang w:val="es-ES"/>
              </w:rPr>
            </w:pPr>
            <w:r w:rsidRPr="004E2589">
              <w:rPr>
                <w:rFonts w:ascii="gobCL" w:eastAsia="Batang" w:hAnsi="gobCL" w:cs="Arial"/>
                <w:lang w:val="es-ES"/>
              </w:rPr>
              <w:t>Segmento</w:t>
            </w:r>
          </w:p>
        </w:tc>
        <w:tc>
          <w:tcPr>
            <w:tcW w:w="2272" w:type="dxa"/>
            <w:shd w:val="clear" w:color="auto" w:fill="D9D9D9" w:themeFill="background1" w:themeFillShade="D9"/>
          </w:tcPr>
          <w:p w14:paraId="368EF33A" w14:textId="77777777" w:rsidR="000F43A2" w:rsidRPr="004E2589" w:rsidRDefault="000F43A2" w:rsidP="000F43A2">
            <w:pPr>
              <w:tabs>
                <w:tab w:val="left" w:pos="709"/>
              </w:tabs>
              <w:spacing w:after="160" w:line="259" w:lineRule="auto"/>
              <w:contextualSpacing/>
              <w:jc w:val="center"/>
              <w:rPr>
                <w:rFonts w:ascii="gobCL" w:eastAsia="Batang" w:hAnsi="gobCL" w:cs="Arial"/>
                <w:lang w:val="es-ES"/>
              </w:rPr>
            </w:pPr>
            <w:r w:rsidRPr="004E2589">
              <w:rPr>
                <w:rFonts w:ascii="gobCL" w:eastAsia="Batang" w:hAnsi="gobCL" w:cs="Arial"/>
                <w:lang w:val="es-ES"/>
              </w:rPr>
              <w:t>Ventas anuales</w:t>
            </w:r>
          </w:p>
        </w:tc>
        <w:tc>
          <w:tcPr>
            <w:tcW w:w="2436" w:type="dxa"/>
            <w:shd w:val="clear" w:color="auto" w:fill="D9D9D9" w:themeFill="background1" w:themeFillShade="D9"/>
          </w:tcPr>
          <w:p w14:paraId="2515BDD5" w14:textId="77777777" w:rsidR="000F43A2" w:rsidRPr="004E2589" w:rsidRDefault="000F43A2" w:rsidP="000F43A2">
            <w:pPr>
              <w:tabs>
                <w:tab w:val="left" w:pos="709"/>
              </w:tabs>
              <w:spacing w:after="160" w:line="259" w:lineRule="auto"/>
              <w:contextualSpacing/>
              <w:jc w:val="center"/>
              <w:rPr>
                <w:rFonts w:ascii="gobCL" w:eastAsia="Batang" w:hAnsi="gobCL" w:cs="Arial"/>
                <w:lang w:val="es-ES"/>
              </w:rPr>
            </w:pPr>
            <w:r w:rsidRPr="004E2589">
              <w:rPr>
                <w:rFonts w:ascii="gobCL" w:eastAsia="Batang" w:hAnsi="gobCL" w:cs="Arial"/>
                <w:lang w:val="es-ES"/>
              </w:rPr>
              <w:t>Monto máximo</w:t>
            </w:r>
          </w:p>
        </w:tc>
      </w:tr>
      <w:tr w:rsidR="000F43A2" w:rsidRPr="003F3281" w14:paraId="43065AC9" w14:textId="77777777" w:rsidTr="00C97970">
        <w:trPr>
          <w:trHeight w:val="266"/>
        </w:trPr>
        <w:tc>
          <w:tcPr>
            <w:tcW w:w="1657" w:type="dxa"/>
          </w:tcPr>
          <w:p w14:paraId="480F871E" w14:textId="77777777" w:rsidR="000F43A2" w:rsidRPr="003F3281" w:rsidRDefault="000F43A2" w:rsidP="000F43A2">
            <w:pPr>
              <w:jc w:val="center"/>
              <w:rPr>
                <w:rFonts w:ascii="gobCL" w:hAnsi="gobCL"/>
                <w:lang w:val="es-ES"/>
              </w:rPr>
            </w:pPr>
            <w:r w:rsidRPr="003F3281">
              <w:rPr>
                <w:rFonts w:ascii="gobCL" w:hAnsi="gobCL"/>
                <w:lang w:val="es-ES"/>
              </w:rPr>
              <w:t>1</w:t>
            </w:r>
          </w:p>
        </w:tc>
        <w:tc>
          <w:tcPr>
            <w:tcW w:w="2272" w:type="dxa"/>
          </w:tcPr>
          <w:p w14:paraId="16BF66D0" w14:textId="77777777" w:rsidR="000F43A2" w:rsidRPr="003F3281" w:rsidRDefault="000F43A2" w:rsidP="000F43A2">
            <w:pPr>
              <w:jc w:val="both"/>
              <w:rPr>
                <w:rFonts w:ascii="gobCL" w:hAnsi="gobCL"/>
                <w:lang w:val="es-ES"/>
              </w:rPr>
            </w:pPr>
            <w:r>
              <w:rPr>
                <w:rFonts w:ascii="gobCL" w:hAnsi="gobCL"/>
                <w:lang w:val="es-ES"/>
              </w:rPr>
              <w:t xml:space="preserve">Hasta </w:t>
            </w:r>
            <w:r w:rsidRPr="003F3281">
              <w:rPr>
                <w:rFonts w:ascii="gobCL" w:hAnsi="gobCL"/>
                <w:lang w:val="es-ES"/>
              </w:rPr>
              <w:t xml:space="preserve"> 2.400 UF</w:t>
            </w:r>
          </w:p>
        </w:tc>
        <w:tc>
          <w:tcPr>
            <w:tcW w:w="2436" w:type="dxa"/>
          </w:tcPr>
          <w:p w14:paraId="47D7F608" w14:textId="77777777" w:rsidR="000F43A2" w:rsidRPr="003F3281" w:rsidRDefault="000F43A2" w:rsidP="000F43A2">
            <w:pPr>
              <w:jc w:val="both"/>
              <w:rPr>
                <w:rFonts w:ascii="gobCL" w:hAnsi="gobCL"/>
                <w:lang w:val="es-ES"/>
              </w:rPr>
            </w:pPr>
            <w:r>
              <w:rPr>
                <w:rFonts w:ascii="gobCL" w:hAnsi="gobCL"/>
                <w:lang w:val="es-ES"/>
              </w:rPr>
              <w:t>Hasta $4</w:t>
            </w:r>
            <w:r w:rsidRPr="003F3281">
              <w:rPr>
                <w:rFonts w:ascii="gobCL" w:hAnsi="gobCL"/>
                <w:lang w:val="es-ES"/>
              </w:rPr>
              <w:t>.000.000</w:t>
            </w:r>
          </w:p>
        </w:tc>
      </w:tr>
      <w:tr w:rsidR="000F43A2" w:rsidRPr="003F3281" w14:paraId="09111C0A" w14:textId="77777777" w:rsidTr="00C97970">
        <w:trPr>
          <w:trHeight w:val="283"/>
        </w:trPr>
        <w:tc>
          <w:tcPr>
            <w:tcW w:w="1657" w:type="dxa"/>
          </w:tcPr>
          <w:p w14:paraId="65D5AE9A" w14:textId="77777777" w:rsidR="000F43A2" w:rsidRPr="003F3281" w:rsidRDefault="000F43A2" w:rsidP="000F43A2">
            <w:pPr>
              <w:jc w:val="center"/>
              <w:rPr>
                <w:rFonts w:ascii="gobCL" w:hAnsi="gobCL"/>
                <w:lang w:val="es-ES"/>
              </w:rPr>
            </w:pPr>
            <w:r w:rsidRPr="003F3281">
              <w:rPr>
                <w:rFonts w:ascii="gobCL" w:hAnsi="gobCL"/>
                <w:lang w:val="es-ES"/>
              </w:rPr>
              <w:t>2</w:t>
            </w:r>
          </w:p>
        </w:tc>
        <w:tc>
          <w:tcPr>
            <w:tcW w:w="2272" w:type="dxa"/>
          </w:tcPr>
          <w:p w14:paraId="51984520" w14:textId="77777777" w:rsidR="000F43A2" w:rsidRPr="003F3281" w:rsidRDefault="000F43A2" w:rsidP="000F43A2">
            <w:pPr>
              <w:jc w:val="both"/>
              <w:rPr>
                <w:rFonts w:ascii="gobCL" w:hAnsi="gobCL"/>
                <w:lang w:val="es-ES"/>
              </w:rPr>
            </w:pPr>
            <w:r w:rsidRPr="003F3281">
              <w:rPr>
                <w:rFonts w:ascii="gobCL" w:hAnsi="gobCL"/>
                <w:lang w:val="es-ES"/>
              </w:rPr>
              <w:t>2.401 – 5.000 UF</w:t>
            </w:r>
          </w:p>
        </w:tc>
        <w:tc>
          <w:tcPr>
            <w:tcW w:w="2436" w:type="dxa"/>
          </w:tcPr>
          <w:p w14:paraId="59A0CE24" w14:textId="77777777" w:rsidR="000F43A2" w:rsidRPr="003F3281" w:rsidRDefault="000F43A2" w:rsidP="000F43A2">
            <w:pPr>
              <w:jc w:val="both"/>
              <w:rPr>
                <w:rFonts w:ascii="gobCL" w:hAnsi="gobCL"/>
                <w:lang w:val="es-ES"/>
              </w:rPr>
            </w:pPr>
            <w:r w:rsidRPr="003F3281">
              <w:rPr>
                <w:rFonts w:ascii="gobCL" w:hAnsi="gobCL"/>
                <w:lang w:val="es-ES"/>
              </w:rPr>
              <w:t>Hasta $5.000.000</w:t>
            </w:r>
          </w:p>
        </w:tc>
      </w:tr>
      <w:tr w:rsidR="000F43A2" w:rsidRPr="003F3281" w14:paraId="7740DB9B" w14:textId="77777777" w:rsidTr="00C97970">
        <w:trPr>
          <w:trHeight w:val="266"/>
        </w:trPr>
        <w:tc>
          <w:tcPr>
            <w:tcW w:w="1657" w:type="dxa"/>
          </w:tcPr>
          <w:p w14:paraId="706D60C1" w14:textId="77777777" w:rsidR="000F43A2" w:rsidRPr="003F3281" w:rsidRDefault="000F43A2" w:rsidP="000F43A2">
            <w:pPr>
              <w:jc w:val="center"/>
              <w:rPr>
                <w:rFonts w:ascii="gobCL" w:hAnsi="gobCL"/>
                <w:lang w:val="es-ES"/>
              </w:rPr>
            </w:pPr>
            <w:r w:rsidRPr="003F3281">
              <w:rPr>
                <w:rFonts w:ascii="gobCL" w:hAnsi="gobCL"/>
                <w:lang w:val="es-ES"/>
              </w:rPr>
              <w:t>3</w:t>
            </w:r>
          </w:p>
        </w:tc>
        <w:tc>
          <w:tcPr>
            <w:tcW w:w="2272" w:type="dxa"/>
          </w:tcPr>
          <w:p w14:paraId="2F25C400" w14:textId="6D5997DE" w:rsidR="000F43A2" w:rsidRPr="003F3281" w:rsidRDefault="000F43A2" w:rsidP="000F43A2">
            <w:pPr>
              <w:jc w:val="both"/>
              <w:rPr>
                <w:rFonts w:ascii="gobCL" w:hAnsi="gobCL"/>
                <w:lang w:val="es-ES"/>
              </w:rPr>
            </w:pPr>
            <w:r w:rsidRPr="003F3281">
              <w:rPr>
                <w:rFonts w:ascii="gobCL" w:hAnsi="gobCL"/>
                <w:lang w:val="es-ES"/>
              </w:rPr>
              <w:t xml:space="preserve">5.001 – </w:t>
            </w:r>
            <w:r w:rsidR="005459A3">
              <w:rPr>
                <w:rFonts w:ascii="gobCL" w:hAnsi="gobCL"/>
                <w:lang w:val="es-ES"/>
              </w:rPr>
              <w:t>25</w:t>
            </w:r>
            <w:r w:rsidRPr="003F3281">
              <w:rPr>
                <w:rFonts w:ascii="gobCL" w:hAnsi="gobCL"/>
                <w:lang w:val="es-ES"/>
              </w:rPr>
              <w:t>.000</w:t>
            </w:r>
            <w:r>
              <w:rPr>
                <w:rFonts w:ascii="gobCL" w:hAnsi="gobCL"/>
                <w:lang w:val="es-ES"/>
              </w:rPr>
              <w:t xml:space="preserve"> UF</w:t>
            </w:r>
          </w:p>
        </w:tc>
        <w:tc>
          <w:tcPr>
            <w:tcW w:w="2436" w:type="dxa"/>
          </w:tcPr>
          <w:p w14:paraId="56DCFF74" w14:textId="5E5B3DAA" w:rsidR="000F43A2" w:rsidRPr="003F3281" w:rsidRDefault="000F43A2" w:rsidP="000F43A2">
            <w:pPr>
              <w:jc w:val="both"/>
              <w:rPr>
                <w:rFonts w:ascii="gobCL" w:hAnsi="gobCL"/>
                <w:lang w:val="es-ES"/>
              </w:rPr>
            </w:pPr>
            <w:r>
              <w:rPr>
                <w:rFonts w:ascii="gobCL" w:hAnsi="gobCL"/>
                <w:lang w:val="es-ES"/>
              </w:rPr>
              <w:t>Hasta $</w:t>
            </w:r>
            <w:r w:rsidR="005459A3">
              <w:rPr>
                <w:rFonts w:ascii="gobCL" w:hAnsi="gobCL"/>
                <w:lang w:val="es-ES"/>
              </w:rPr>
              <w:t>10</w:t>
            </w:r>
            <w:r w:rsidRPr="003F3281">
              <w:rPr>
                <w:rFonts w:ascii="gobCL" w:hAnsi="gobCL"/>
                <w:lang w:val="es-ES"/>
              </w:rPr>
              <w:t>.000.000</w:t>
            </w:r>
          </w:p>
        </w:tc>
      </w:tr>
    </w:tbl>
    <w:p w14:paraId="6DF76320" w14:textId="0EBD1492" w:rsidR="006A1204" w:rsidRDefault="006A1204" w:rsidP="006A1204">
      <w:pPr>
        <w:pStyle w:val="Prrafodelista"/>
        <w:tabs>
          <w:tab w:val="left" w:pos="709"/>
        </w:tabs>
        <w:spacing w:before="240" w:after="240" w:line="240" w:lineRule="auto"/>
        <w:ind w:left="0"/>
        <w:jc w:val="both"/>
        <w:rPr>
          <w:rFonts w:ascii="gobCL" w:eastAsia="Batang" w:hAnsi="gobCL" w:cs="Arial"/>
        </w:rPr>
      </w:pPr>
    </w:p>
    <w:p w14:paraId="06CAD359" w14:textId="2E1ABA8D" w:rsidR="000F43A2" w:rsidRDefault="000F43A2" w:rsidP="006A1204">
      <w:pPr>
        <w:pStyle w:val="Prrafodelista"/>
        <w:tabs>
          <w:tab w:val="left" w:pos="709"/>
        </w:tabs>
        <w:spacing w:before="240" w:after="240" w:line="240" w:lineRule="auto"/>
        <w:ind w:left="0"/>
        <w:jc w:val="both"/>
        <w:rPr>
          <w:rFonts w:ascii="gobCL" w:eastAsia="Batang" w:hAnsi="gobCL" w:cs="Arial"/>
        </w:rPr>
      </w:pPr>
    </w:p>
    <w:p w14:paraId="5273760F" w14:textId="77777777" w:rsidR="000F43A2" w:rsidRPr="003F3281" w:rsidRDefault="000F43A2" w:rsidP="006A1204">
      <w:pPr>
        <w:pStyle w:val="Prrafodelista"/>
        <w:tabs>
          <w:tab w:val="left" w:pos="709"/>
        </w:tabs>
        <w:spacing w:before="240" w:after="240" w:line="240" w:lineRule="auto"/>
        <w:ind w:left="0"/>
        <w:jc w:val="both"/>
        <w:rPr>
          <w:rFonts w:ascii="gobCL" w:eastAsia="Batang" w:hAnsi="gobCL" w:cs="Arial"/>
        </w:rPr>
      </w:pPr>
    </w:p>
    <w:p w14:paraId="46A2C0BB" w14:textId="77777777" w:rsidR="006A1204" w:rsidRPr="003F3281" w:rsidRDefault="006A1204" w:rsidP="006A1204">
      <w:pPr>
        <w:pStyle w:val="Prrafodelista"/>
        <w:tabs>
          <w:tab w:val="left" w:pos="709"/>
        </w:tabs>
        <w:spacing w:before="240" w:after="240" w:line="240" w:lineRule="auto"/>
        <w:ind w:left="0"/>
        <w:jc w:val="both"/>
        <w:rPr>
          <w:rFonts w:ascii="gobCL" w:eastAsia="Batang" w:hAnsi="gobCL" w:cs="Arial"/>
        </w:rPr>
      </w:pPr>
    </w:p>
    <w:p w14:paraId="6CC89462" w14:textId="77777777" w:rsidR="006A1204" w:rsidRPr="003F3281" w:rsidRDefault="006A1204" w:rsidP="006A1204">
      <w:pPr>
        <w:pStyle w:val="Prrafodelista"/>
        <w:tabs>
          <w:tab w:val="left" w:pos="709"/>
        </w:tabs>
        <w:spacing w:before="240" w:after="240" w:line="240" w:lineRule="auto"/>
        <w:ind w:left="0"/>
        <w:jc w:val="both"/>
        <w:rPr>
          <w:rFonts w:ascii="gobCL" w:eastAsia="Batang" w:hAnsi="gobCL" w:cs="Arial"/>
        </w:rPr>
      </w:pPr>
    </w:p>
    <w:p w14:paraId="65F15442" w14:textId="0A658FD1" w:rsidR="006A1204" w:rsidRPr="000A65C8" w:rsidRDefault="006A1204" w:rsidP="006A1204">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763A4E1A" w14:textId="77777777" w:rsidR="006A1204" w:rsidRPr="000A65C8" w:rsidRDefault="006A1204" w:rsidP="006A1204">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3176"/>
        <w:gridCol w:w="3054"/>
      </w:tblGrid>
      <w:tr w:rsidR="006A1204" w:rsidRPr="000A65C8" w14:paraId="50E7EDAD" w14:textId="77777777" w:rsidTr="00F345A0">
        <w:trPr>
          <w:trHeight w:val="70"/>
          <w:jc w:val="center"/>
        </w:trPr>
        <w:tc>
          <w:tcPr>
            <w:tcW w:w="0" w:type="auto"/>
            <w:shd w:val="pct15" w:color="auto" w:fill="FFFFFF" w:themeFill="background1"/>
          </w:tcPr>
          <w:p w14:paraId="35D32B64" w14:textId="77777777" w:rsidR="006A1204" w:rsidRPr="000A65C8" w:rsidRDefault="006A1204" w:rsidP="00F345A0">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01345D32" w14:textId="77777777" w:rsidR="006A1204" w:rsidRPr="000A65C8" w:rsidRDefault="006A1204" w:rsidP="00F345A0">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6A1204" w:rsidRPr="000A65C8" w14:paraId="32D6DA04" w14:textId="77777777" w:rsidTr="00F345A0">
        <w:trPr>
          <w:jc w:val="center"/>
        </w:trPr>
        <w:tc>
          <w:tcPr>
            <w:tcW w:w="0" w:type="auto"/>
          </w:tcPr>
          <w:p w14:paraId="6C95ED9F" w14:textId="7DEADA14" w:rsidR="006A1204" w:rsidRPr="000A65C8" w:rsidRDefault="006A1204" w:rsidP="00F345A0">
            <w:pPr>
              <w:tabs>
                <w:tab w:val="left" w:pos="709"/>
              </w:tabs>
              <w:spacing w:after="160" w:line="259" w:lineRule="auto"/>
              <w:contextualSpacing/>
              <w:jc w:val="center"/>
              <w:rPr>
                <w:rFonts w:ascii="gobCL" w:eastAsia="Batang" w:hAnsi="gobCL" w:cs="Arial"/>
                <w:sz w:val="22"/>
                <w:szCs w:val="22"/>
                <w:lang w:eastAsia="en-US"/>
              </w:rPr>
            </w:pPr>
            <w:r>
              <w:rPr>
                <w:rFonts w:ascii="gobCL" w:eastAsia="Batang" w:hAnsi="gobCL" w:cs="Arial"/>
                <w:sz w:val="22"/>
                <w:szCs w:val="22"/>
                <w:lang w:eastAsia="en-US"/>
              </w:rPr>
              <w:t>Mayo</w:t>
            </w:r>
            <w:r w:rsidRPr="000A65C8">
              <w:rPr>
                <w:rFonts w:ascii="gobCL" w:eastAsia="Batang" w:hAnsi="gobCL" w:cs="Arial"/>
                <w:sz w:val="22"/>
                <w:szCs w:val="22"/>
                <w:lang w:eastAsia="en-US"/>
              </w:rPr>
              <w:t xml:space="preserve"> 2020</w:t>
            </w:r>
          </w:p>
        </w:tc>
        <w:tc>
          <w:tcPr>
            <w:tcW w:w="0" w:type="auto"/>
          </w:tcPr>
          <w:p w14:paraId="4EC9E805" w14:textId="239D641E" w:rsidR="006A1204" w:rsidRPr="000A65C8" w:rsidRDefault="00F33242">
            <w:pPr>
              <w:tabs>
                <w:tab w:val="left" w:pos="709"/>
              </w:tabs>
              <w:spacing w:after="160" w:line="259" w:lineRule="auto"/>
              <w:contextualSpacing/>
              <w:jc w:val="center"/>
              <w:rPr>
                <w:rFonts w:ascii="gobCL" w:eastAsia="Batang" w:hAnsi="gobCL" w:cs="Arial"/>
                <w:sz w:val="22"/>
                <w:szCs w:val="22"/>
                <w:lang w:eastAsia="en-US"/>
              </w:rPr>
            </w:pPr>
            <w:r>
              <w:rPr>
                <w:rFonts w:ascii="gobCL" w:eastAsia="Batang" w:hAnsi="gobCL" w:cs="Arial"/>
                <w:sz w:val="22"/>
                <w:szCs w:val="22"/>
                <w:lang w:eastAsia="en-US"/>
              </w:rPr>
              <w:t>Abril</w:t>
            </w:r>
            <w:r w:rsidR="006A1204">
              <w:rPr>
                <w:rFonts w:ascii="gobCL" w:eastAsia="Batang" w:hAnsi="gobCL" w:cs="Arial"/>
                <w:sz w:val="22"/>
                <w:szCs w:val="22"/>
                <w:lang w:eastAsia="en-US"/>
              </w:rPr>
              <w:t xml:space="preserve"> 2019</w:t>
            </w:r>
            <w:r w:rsidR="006A1204" w:rsidRPr="000A65C8">
              <w:rPr>
                <w:rFonts w:ascii="gobCL" w:eastAsia="Batang" w:hAnsi="gobCL" w:cs="Arial"/>
                <w:sz w:val="22"/>
                <w:szCs w:val="22"/>
                <w:lang w:eastAsia="en-US"/>
              </w:rPr>
              <w:t xml:space="preserve"> </w:t>
            </w:r>
            <w:r w:rsidR="006A1204">
              <w:rPr>
                <w:rFonts w:ascii="gobCL" w:eastAsia="Batang" w:hAnsi="gobCL" w:cs="Arial"/>
                <w:sz w:val="22"/>
                <w:szCs w:val="22"/>
                <w:lang w:eastAsia="en-US"/>
              </w:rPr>
              <w:t>–</w:t>
            </w:r>
            <w:r w:rsidR="006A1204" w:rsidRPr="000A65C8">
              <w:rPr>
                <w:rFonts w:ascii="gobCL" w:eastAsia="Batang" w:hAnsi="gobCL" w:cs="Arial"/>
                <w:sz w:val="22"/>
                <w:szCs w:val="22"/>
                <w:lang w:eastAsia="en-US"/>
              </w:rPr>
              <w:t xml:space="preserve"> </w:t>
            </w:r>
            <w:r>
              <w:rPr>
                <w:rFonts w:ascii="gobCL" w:eastAsia="Batang" w:hAnsi="gobCL" w:cs="Arial"/>
                <w:sz w:val="22"/>
                <w:szCs w:val="22"/>
                <w:lang w:eastAsia="en-US"/>
              </w:rPr>
              <w:t>Marzo</w:t>
            </w:r>
            <w:r w:rsidR="006A1204">
              <w:rPr>
                <w:rFonts w:ascii="gobCL" w:eastAsia="Batang" w:hAnsi="gobCL" w:cs="Arial"/>
                <w:sz w:val="22"/>
                <w:szCs w:val="22"/>
                <w:lang w:eastAsia="en-US"/>
              </w:rPr>
              <w:t xml:space="preserve"> 2020</w:t>
            </w:r>
          </w:p>
        </w:tc>
      </w:tr>
    </w:tbl>
    <w:p w14:paraId="196E90EF" w14:textId="0654D28B" w:rsidR="006A1204" w:rsidRPr="00C97970" w:rsidRDefault="006A1204" w:rsidP="00C97970">
      <w:pPr>
        <w:spacing w:before="240" w:after="240" w:line="240" w:lineRule="auto"/>
        <w:jc w:val="both"/>
        <w:rPr>
          <w:rFonts w:ascii="gobCL" w:eastAsia="gobCL" w:hAnsi="gobCL" w:cs="gobCL"/>
        </w:rPr>
      </w:pPr>
      <w:r>
        <w:rPr>
          <w:rFonts w:ascii="gobCL" w:eastAsia="gobCL" w:hAnsi="gobCL" w:cs="gobCL"/>
        </w:rPr>
        <w:t xml:space="preserve">Para las empresas que tengan iniciación de actividades posterior a </w:t>
      </w:r>
      <w:r w:rsidRPr="00B2442B">
        <w:rPr>
          <w:rFonts w:ascii="gobCL" w:eastAsia="gobCL" w:hAnsi="gobCL" w:cs="gobCL"/>
        </w:rPr>
        <w:t>abril del 2019,</w:t>
      </w:r>
      <w:r>
        <w:rPr>
          <w:rFonts w:ascii="gobCL" w:eastAsia="gobCL" w:hAnsi="gobCL" w:cs="gobCL"/>
        </w:rPr>
        <w:t xml:space="preserve"> el cálculo de ventas se hará a partir del mes de inicio de actividades hasta el mes de </w:t>
      </w:r>
      <w:r w:rsidR="006C08A4">
        <w:rPr>
          <w:rFonts w:ascii="gobCL" w:eastAsia="gobCL" w:hAnsi="gobCL" w:cs="gobCL"/>
        </w:rPr>
        <w:t>m</w:t>
      </w:r>
      <w:r w:rsidR="00F33242">
        <w:rPr>
          <w:rFonts w:ascii="gobCL" w:eastAsia="gobCL" w:hAnsi="gobCL" w:cs="gobCL"/>
        </w:rPr>
        <w:t>arzo</w:t>
      </w:r>
      <w:r>
        <w:rPr>
          <w:rFonts w:ascii="gobCL" w:eastAsia="gobCL" w:hAnsi="gobCL" w:cs="gobCL"/>
        </w:rPr>
        <w:t xml:space="preserve"> de 2020.</w:t>
      </w:r>
    </w:p>
    <w:p w14:paraId="41BAEF46" w14:textId="77777777" w:rsidR="006A1204" w:rsidRPr="003F3281" w:rsidRDefault="006A1204" w:rsidP="006A1204">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Los recursos estarán disponibles para los beneficiarios, a través de compra asistida por un AOS o reembolso.</w:t>
      </w:r>
    </w:p>
    <w:p w14:paraId="10B03281" w14:textId="77777777" w:rsidR="002862B1" w:rsidRDefault="002862B1">
      <w:pPr>
        <w:pBdr>
          <w:top w:val="nil"/>
          <w:left w:val="nil"/>
          <w:bottom w:val="nil"/>
          <w:right w:val="nil"/>
          <w:between w:val="nil"/>
        </w:pBdr>
        <w:tabs>
          <w:tab w:val="left" w:pos="709"/>
        </w:tabs>
        <w:spacing w:after="0" w:line="240" w:lineRule="auto"/>
        <w:ind w:hanging="720"/>
        <w:jc w:val="both"/>
        <w:rPr>
          <w:rFonts w:ascii="gobCL" w:eastAsia="gobCL" w:hAnsi="gobCL" w:cs="gobCL"/>
          <w:color w:val="000000"/>
        </w:rPr>
      </w:pPr>
    </w:p>
    <w:p w14:paraId="34D4BDC7" w14:textId="77777777" w:rsidR="002862B1"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Pr>
          <w:rFonts w:ascii="gobCL" w:eastAsia="gobCL" w:hAnsi="gobCL" w:cs="gobCL"/>
          <w:b/>
          <w:color w:val="000000"/>
        </w:rPr>
        <w:t>2.4.  ¿Qué es posible financiar con el subsidio que entrega Sercotec?</w:t>
      </w:r>
    </w:p>
    <w:p w14:paraId="60814BD7" w14:textId="77777777" w:rsidR="002862B1" w:rsidRDefault="007C48F8">
      <w:pPr>
        <w:tabs>
          <w:tab w:val="left" w:pos="709"/>
        </w:tabs>
        <w:spacing w:before="240" w:after="240"/>
        <w:jc w:val="both"/>
        <w:rPr>
          <w:rFonts w:ascii="gobCL" w:eastAsia="gobCL" w:hAnsi="gobCL" w:cs="gobCL"/>
        </w:rPr>
      </w:pPr>
      <w:r>
        <w:rPr>
          <w:rFonts w:ascii="gobCL" w:eastAsia="gobCL" w:hAnsi="gobCL" w:cs="gobCL"/>
        </w:rPr>
        <w:t xml:space="preserve">Con el subsidio entregado por Sercotec es posible financiar los siguientes ítems de gastos: </w:t>
      </w:r>
    </w:p>
    <w:p w14:paraId="5B475B0F" w14:textId="77777777"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color w:val="000000"/>
        </w:rPr>
        <w:t>Activos Fijos:</w:t>
      </w:r>
      <w:r>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Pr>
          <w:color w:val="000000"/>
        </w:rPr>
        <w:t> </w:t>
      </w:r>
      <w:r>
        <w:rPr>
          <w:rFonts w:ascii="gobCL" w:eastAsia="gobCL" w:hAnsi="gobCL" w:cs="gobCL"/>
        </w:rPr>
        <w:t>ubicarán</w:t>
      </w:r>
      <w:r>
        <w:rPr>
          <w:rFonts w:ascii="gobCL" w:eastAsia="gobCL" w:hAnsi="gobCL" w:cs="gobCL"/>
          <w:color w:val="000000"/>
        </w:rPr>
        <w:t>,</w:t>
      </w:r>
      <w:r>
        <w:rPr>
          <w:color w:val="000000"/>
        </w:rPr>
        <w:t> </w:t>
      </w:r>
      <w:r>
        <w:rPr>
          <w:rFonts w:ascii="gobCL" w:eastAsia="gobCL" w:hAnsi="gobCL" w:cs="gobCL"/>
          <w:color w:val="000000"/>
        </w:rPr>
        <w:t>y</w:t>
      </w:r>
      <w:r>
        <w:rPr>
          <w:color w:val="000000"/>
        </w:rPr>
        <w:t> </w:t>
      </w:r>
      <w:r>
        <w:rPr>
          <w:rFonts w:ascii="gobCL" w:eastAsia="gobCL" w:hAnsi="gobCL" w:cs="gobCL"/>
          <w:color w:val="000000"/>
        </w:rPr>
        <w:t>otros</w:t>
      </w:r>
      <w:r>
        <w:rPr>
          <w:color w:val="000000"/>
        </w:rPr>
        <w:t> </w:t>
      </w:r>
      <w:r>
        <w:rPr>
          <w:rFonts w:ascii="gobCL" w:eastAsia="gobCL" w:hAnsi="gobCL" w:cs="gobCL"/>
          <w:color w:val="000000"/>
        </w:rPr>
        <w:t>de</w:t>
      </w:r>
      <w:r>
        <w:rPr>
          <w:color w:val="000000"/>
        </w:rPr>
        <w:t> </w:t>
      </w:r>
      <w:r>
        <w:rPr>
          <w:rFonts w:ascii="gobCL" w:eastAsia="gobCL" w:hAnsi="gobCL" w:cs="gobCL"/>
          <w:color w:val="000000"/>
        </w:rPr>
        <w:t>similar</w:t>
      </w:r>
      <w:r>
        <w:rPr>
          <w:color w:val="000000"/>
        </w:rPr>
        <w:t> </w:t>
      </w:r>
      <w:r>
        <w:rPr>
          <w:rFonts w:ascii="gobCL" w:eastAsia="gobCL" w:hAnsi="gobCL" w:cs="gobCL"/>
          <w:color w:val="000000"/>
        </w:rPr>
        <w:t xml:space="preserve">índole. </w:t>
      </w:r>
    </w:p>
    <w:p w14:paraId="5B7D3420" w14:textId="77777777" w:rsidR="002862B1" w:rsidRDefault="007C48F8">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Pr>
          <w:rFonts w:ascii="gobCL" w:eastAsia="gobCL" w:hAnsi="gobCL" w:cs="gobCL"/>
          <w:b/>
        </w:rPr>
        <w:t>Capital de Trabajo:</w:t>
      </w:r>
      <w:r>
        <w:rPr>
          <w:rFonts w:ascii="gobCL" w:eastAsia="gobCL" w:hAnsi="gobCL" w:cs="gobCL"/>
        </w:rPr>
        <w:t xml:space="preserve"> Este ítem incluye los siguientes sub ítems:</w:t>
      </w:r>
    </w:p>
    <w:p w14:paraId="63A4A504" w14:textId="77777777" w:rsidR="00C5797B" w:rsidRDefault="00C5797B" w:rsidP="00C5797B">
      <w:pPr>
        <w:numPr>
          <w:ilvl w:val="0"/>
          <w:numId w:val="10"/>
        </w:numPr>
        <w:pBdr>
          <w:top w:val="nil"/>
          <w:left w:val="nil"/>
          <w:bottom w:val="nil"/>
          <w:right w:val="nil"/>
          <w:between w:val="nil"/>
        </w:pBdr>
        <w:spacing w:before="240" w:after="0"/>
        <w:jc w:val="both"/>
        <w:rPr>
          <w:rFonts w:ascii="gobCL" w:eastAsia="gobCL" w:hAnsi="gobCL" w:cs="gobCL"/>
          <w:color w:val="000000"/>
        </w:rPr>
      </w:pPr>
      <w:r>
        <w:rPr>
          <w:rFonts w:ascii="gobCL" w:eastAsia="gobCL" w:hAnsi="gobCL" w:cs="gobCL"/>
          <w:b/>
          <w:color w:val="000000"/>
        </w:rPr>
        <w:t>Materias primas y materiales</w:t>
      </w:r>
      <w:r>
        <w:rPr>
          <w:rFonts w:ascii="gobCL" w:eastAsia="gobCL" w:hAnsi="gobCL" w:cs="gobCL"/>
          <w:color w:val="000000"/>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3E5B83EA" w14:textId="77777777" w:rsidR="00C5797B" w:rsidRDefault="00C5797B" w:rsidP="00C5797B">
      <w:pPr>
        <w:pBdr>
          <w:top w:val="nil"/>
          <w:left w:val="nil"/>
          <w:bottom w:val="nil"/>
          <w:right w:val="nil"/>
          <w:between w:val="nil"/>
        </w:pBdr>
        <w:spacing w:after="0"/>
        <w:ind w:left="1080" w:hanging="720"/>
        <w:jc w:val="both"/>
        <w:rPr>
          <w:rFonts w:ascii="gobCL" w:eastAsia="gobCL" w:hAnsi="gobCL" w:cs="gobCL"/>
          <w:color w:val="000000"/>
        </w:rPr>
      </w:pPr>
    </w:p>
    <w:p w14:paraId="57E06C57" w14:textId="77777777" w:rsidR="00C5797B" w:rsidRDefault="00C5797B" w:rsidP="00C5797B">
      <w:pPr>
        <w:numPr>
          <w:ilvl w:val="0"/>
          <w:numId w:val="10"/>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Mercadería</w:t>
      </w:r>
      <w:r>
        <w:rPr>
          <w:rFonts w:ascii="gobCL" w:eastAsia="gobCL" w:hAnsi="gobCL" w:cs="gobCL"/>
          <w:color w:val="000000"/>
        </w:rPr>
        <w:t>: Comprende el gasto en aquellos bienes elaborados que serán objeto de venta directa o comercialización; por ejemplo, se compran y se venden pantalones.</w:t>
      </w:r>
    </w:p>
    <w:p w14:paraId="57A9389F" w14:textId="77777777" w:rsidR="00C5797B" w:rsidRDefault="00C5797B" w:rsidP="00C5797B">
      <w:pPr>
        <w:pBdr>
          <w:top w:val="nil"/>
          <w:left w:val="nil"/>
          <w:bottom w:val="nil"/>
          <w:right w:val="nil"/>
          <w:between w:val="nil"/>
        </w:pBdr>
        <w:spacing w:after="0"/>
        <w:ind w:left="1080" w:hanging="720"/>
        <w:jc w:val="both"/>
        <w:rPr>
          <w:rFonts w:ascii="gobCL" w:eastAsia="gobCL" w:hAnsi="gobCL" w:cs="gobCL"/>
          <w:color w:val="000000"/>
        </w:rPr>
      </w:pPr>
    </w:p>
    <w:p w14:paraId="11EDFEA3" w14:textId="4CD881D7" w:rsidR="00C5797B" w:rsidRPr="00033AC4" w:rsidRDefault="00C5797B" w:rsidP="00033AC4">
      <w:pPr>
        <w:numPr>
          <w:ilvl w:val="0"/>
          <w:numId w:val="10"/>
        </w:numPr>
        <w:pBdr>
          <w:top w:val="nil"/>
          <w:left w:val="nil"/>
          <w:bottom w:val="nil"/>
          <w:right w:val="nil"/>
          <w:between w:val="nil"/>
        </w:pBdr>
        <w:spacing w:after="0"/>
        <w:jc w:val="both"/>
        <w:rPr>
          <w:rFonts w:ascii="gobCL" w:eastAsia="gobCL" w:hAnsi="gobCL" w:cs="gobCL"/>
          <w:b/>
          <w:color w:val="000000"/>
        </w:rPr>
      </w:pPr>
      <w:r w:rsidRPr="001B4563">
        <w:rPr>
          <w:rFonts w:ascii="gobCL" w:eastAsia="gobCL" w:hAnsi="gobCL" w:cs="gobCL"/>
          <w:b/>
          <w:color w:val="000000"/>
        </w:rPr>
        <w:lastRenderedPageBreak/>
        <w:t>Arriendos:</w:t>
      </w:r>
      <w:r w:rsidRPr="001B4563">
        <w:rPr>
          <w:rFonts w:ascii="gobCL" w:eastAsia="gobCL" w:hAnsi="gobCL" w:cs="gobCL"/>
          <w:color w:val="000000"/>
        </w:rPr>
        <w:t xml:space="preserve"> </w:t>
      </w:r>
      <w:r>
        <w:rPr>
          <w:rFonts w:ascii="gobCL" w:eastAsia="gobCL" w:hAnsi="gobCL" w:cs="gobCL"/>
          <w:color w:val="000000"/>
        </w:rPr>
        <w:t xml:space="preserve">Comprende el gasto en arriendos, actuales o nuevos, de bienes raíces (industriales, comerciales o agrícolas), y/o maquinarias necesarias para el desarrollo del negocio. Sólo se financiarán arriendos por un plazo máximo de </w:t>
      </w:r>
      <w:r w:rsidR="00A94CB0">
        <w:rPr>
          <w:rFonts w:ascii="gobCL" w:eastAsia="gobCL" w:hAnsi="gobCL" w:cs="gobCL"/>
          <w:color w:val="000000"/>
        </w:rPr>
        <w:t xml:space="preserve">4 </w:t>
      </w:r>
      <w:r>
        <w:rPr>
          <w:rFonts w:ascii="gobCL" w:eastAsia="gobCL" w:hAnsi="gobCL" w:cs="gobCL"/>
          <w:color w:val="000000"/>
        </w:rPr>
        <w:t xml:space="preserve">meses, contados desde la firma de contrato con el AOS, el cual deberá pagarse de manera anticipada, demostrable mediante contrato de arriendo. </w:t>
      </w:r>
      <w:r w:rsidRPr="007A7D7C">
        <w:rPr>
          <w:rFonts w:ascii="gobCL" w:eastAsia="gobCL" w:hAnsi="gobCL" w:cs="gobCL"/>
          <w:b/>
          <w:color w:val="000000"/>
        </w:rPr>
        <w:t xml:space="preserve">Para validar el pago por dicho concepto, el contrato de arriendo </w:t>
      </w:r>
      <w:r>
        <w:rPr>
          <w:rFonts w:ascii="gobCL" w:eastAsia="gobCL" w:hAnsi="gobCL" w:cs="gobCL"/>
          <w:b/>
          <w:color w:val="000000"/>
        </w:rPr>
        <w:t xml:space="preserve">deberá tener una fecha de suscripción anterior al 01 de diciembre de 2019 y </w:t>
      </w:r>
      <w:r w:rsidRPr="007A7D7C">
        <w:rPr>
          <w:rFonts w:ascii="gobCL" w:eastAsia="gobCL" w:hAnsi="gobCL" w:cs="gobCL"/>
          <w:b/>
          <w:color w:val="000000"/>
        </w:rPr>
        <w:t>deberá estar suscrito ante Notario Público.</w:t>
      </w:r>
      <w:r w:rsidRPr="007A7D7C">
        <w:rPr>
          <w:rFonts w:ascii="gobCL" w:eastAsia="gobCL" w:hAnsi="gobCL" w:cs="gobCL"/>
          <w:color w:val="000000"/>
        </w:rPr>
        <w:t xml:space="preserve"> </w:t>
      </w:r>
      <w:r w:rsidR="00486D7F" w:rsidRPr="00033AC4">
        <w:rPr>
          <w:rFonts w:ascii="gobCL" w:eastAsia="gobCL" w:hAnsi="gobCL" w:cs="gobCL"/>
          <w:b/>
          <w:color w:val="000000"/>
        </w:rPr>
        <w:t>Además, se verificará que el inmueble se encuentre destinado a las labores del giro, por ejemplo, a través de la dirección comercial que figura ante SII.</w:t>
      </w:r>
      <w:r w:rsidR="00486D7F">
        <w:rPr>
          <w:rFonts w:ascii="gobCL" w:eastAsia="gobCL" w:hAnsi="gobCL" w:cs="gobCL"/>
          <w:color w:val="000000"/>
        </w:rPr>
        <w:t xml:space="preserve"> </w:t>
      </w:r>
      <w:r w:rsidRPr="00033AC4">
        <w:rPr>
          <w:rFonts w:ascii="gobCL" w:eastAsia="gobCL" w:hAnsi="gobCL" w:cs="gobCL"/>
          <w:color w:val="000000"/>
        </w:rPr>
        <w:t xml:space="preserve">Se podrán financiar rentas pagadas desde el 20 de marzo en adelante. Se excluye el arrendamiento de bienes propios, de alguno de los socios/as, representantes legales o de sus respectivos cónyuges, convivientes civiles, familiares por consanguineidad y afinidad hasta segundo grado inclusive (hijos, padre, madre y hermanos, entre otros). </w:t>
      </w:r>
      <w:r w:rsidRPr="00033AC4">
        <w:rPr>
          <w:rFonts w:ascii="gobCL" w:eastAsia="gobCL" w:hAnsi="gobCL" w:cs="gobCL"/>
          <w:b/>
          <w:color w:val="000000"/>
        </w:rPr>
        <w:t>Se podrá financiar asimismo en el caso de que el beneficiario sea persona jurídica y en el contrato de arriendo figure el representante legal o un socio, que tenga más de un 50% de participación en el capital social, como arrendatario</w:t>
      </w:r>
      <w:r w:rsidR="00863EF8">
        <w:rPr>
          <w:rFonts w:ascii="gobCL" w:eastAsia="gobCL" w:hAnsi="gobCL" w:cs="gobCL"/>
          <w:b/>
          <w:color w:val="000000"/>
        </w:rPr>
        <w:t xml:space="preserve"> y que </w:t>
      </w:r>
      <w:r w:rsidR="005A0661">
        <w:rPr>
          <w:rFonts w:ascii="gobCL" w:eastAsia="gobCL" w:hAnsi="gobCL" w:cs="gobCL"/>
          <w:b/>
          <w:color w:val="000000"/>
        </w:rPr>
        <w:t xml:space="preserve">el inmueble </w:t>
      </w:r>
      <w:r w:rsidR="00863EF8">
        <w:rPr>
          <w:rFonts w:ascii="gobCL" w:eastAsia="gobCL" w:hAnsi="gobCL" w:cs="gobCL"/>
          <w:b/>
          <w:color w:val="000000"/>
        </w:rPr>
        <w:t>cumpla con la destinación a las labores del giro</w:t>
      </w:r>
      <w:r w:rsidRPr="00033AC4">
        <w:rPr>
          <w:rFonts w:ascii="gobCL" w:eastAsia="gobCL" w:hAnsi="gobCL" w:cs="gobCL"/>
          <w:b/>
          <w:color w:val="000000"/>
        </w:rPr>
        <w:t xml:space="preserve">. </w:t>
      </w:r>
    </w:p>
    <w:p w14:paraId="724E62A4" w14:textId="77777777" w:rsidR="00C5797B" w:rsidRDefault="00C5797B" w:rsidP="00C5797B">
      <w:pPr>
        <w:pBdr>
          <w:top w:val="nil"/>
          <w:left w:val="nil"/>
          <w:bottom w:val="nil"/>
          <w:right w:val="nil"/>
          <w:between w:val="nil"/>
        </w:pBdr>
        <w:spacing w:after="0"/>
        <w:ind w:left="1080" w:hanging="720"/>
        <w:jc w:val="both"/>
        <w:rPr>
          <w:rFonts w:ascii="gobCL" w:eastAsia="gobCL" w:hAnsi="gobCL" w:cs="gobCL"/>
          <w:color w:val="000000"/>
        </w:rPr>
      </w:pPr>
      <w:r>
        <w:rPr>
          <w:rFonts w:ascii="gobCL" w:eastAsia="gobCL" w:hAnsi="gobCL" w:cs="gobCL"/>
        </w:rPr>
        <w:tab/>
      </w:r>
    </w:p>
    <w:p w14:paraId="442B2CF5" w14:textId="77777777" w:rsidR="00C5797B" w:rsidRDefault="00C5797B" w:rsidP="00C5797B">
      <w:pPr>
        <w:pBdr>
          <w:top w:val="nil"/>
          <w:left w:val="nil"/>
          <w:bottom w:val="nil"/>
          <w:right w:val="nil"/>
          <w:between w:val="nil"/>
        </w:pBdr>
        <w:spacing w:after="0"/>
        <w:ind w:left="1134"/>
        <w:jc w:val="both"/>
        <w:rPr>
          <w:rFonts w:ascii="gobCL" w:eastAsia="gobCL" w:hAnsi="gobCL" w:cs="gobCL"/>
          <w:color w:val="000000"/>
        </w:rPr>
      </w:pPr>
      <w:r w:rsidRPr="00A4136D">
        <w:rPr>
          <w:rFonts w:ascii="gobCL" w:eastAsia="gobCL" w:hAnsi="gobCL" w:cs="gobCL"/>
          <w:b/>
          <w:color w:val="000000"/>
        </w:rPr>
        <w:t>El pago de consumos básicos.</w:t>
      </w:r>
      <w:r>
        <w:rPr>
          <w:rFonts w:ascii="gobCL" w:eastAsia="gobCL" w:hAnsi="gobCL" w:cs="gobCL"/>
          <w:color w:val="000000"/>
        </w:rPr>
        <w:t xml:space="preserve"> Considera el pago de cuentas de agua, energía eléctrica, gas, teléfono y/o internet, asociados al negocio afectado, a contar del 20 de marzo de 2020. </w:t>
      </w:r>
    </w:p>
    <w:p w14:paraId="476884C0" w14:textId="77777777" w:rsidR="00C5797B" w:rsidRDefault="00C5797B" w:rsidP="00C5797B">
      <w:pPr>
        <w:pBdr>
          <w:top w:val="nil"/>
          <w:left w:val="nil"/>
          <w:bottom w:val="nil"/>
          <w:right w:val="nil"/>
          <w:between w:val="nil"/>
        </w:pBdr>
        <w:spacing w:after="0"/>
        <w:ind w:left="1080" w:hanging="720"/>
        <w:jc w:val="both"/>
        <w:rPr>
          <w:rFonts w:ascii="gobCL" w:eastAsia="gobCL" w:hAnsi="gobCL" w:cs="gobCL"/>
          <w:color w:val="000000"/>
        </w:rPr>
      </w:pPr>
    </w:p>
    <w:p w14:paraId="0FB99A1C" w14:textId="208B3EC8" w:rsidR="00C5797B" w:rsidRPr="00994325" w:rsidRDefault="00C5797B" w:rsidP="00C5797B">
      <w:pPr>
        <w:numPr>
          <w:ilvl w:val="0"/>
          <w:numId w:val="10"/>
        </w:numPr>
        <w:pBdr>
          <w:top w:val="nil"/>
          <w:left w:val="nil"/>
          <w:bottom w:val="nil"/>
          <w:right w:val="nil"/>
          <w:between w:val="nil"/>
        </w:pBdr>
        <w:jc w:val="both"/>
        <w:rPr>
          <w:rFonts w:ascii="gobCL" w:eastAsia="gobCL" w:hAnsi="gobCL" w:cs="gobCL"/>
          <w:color w:val="000000"/>
        </w:rPr>
      </w:pPr>
      <w:r w:rsidRPr="000D2830">
        <w:rPr>
          <w:rFonts w:ascii="gobCL" w:eastAsia="gobCL" w:hAnsi="gobCL" w:cs="gobCL"/>
          <w:color w:val="000000"/>
        </w:rPr>
        <w:t xml:space="preserve"> </w:t>
      </w:r>
      <w:r w:rsidRPr="000D2830">
        <w:rPr>
          <w:rFonts w:ascii="gobCL" w:eastAsia="gobCL" w:hAnsi="gobCL" w:cs="gobCL"/>
          <w:b/>
          <w:color w:val="000000"/>
        </w:rPr>
        <w:t>El pago de cuotas de créditos</w:t>
      </w:r>
      <w:r w:rsidR="00BC51C4">
        <w:rPr>
          <w:rFonts w:ascii="gobCL" w:eastAsia="gobCL" w:hAnsi="gobCL" w:cs="gobCL"/>
          <w:b/>
          <w:color w:val="000000"/>
        </w:rPr>
        <w:t xml:space="preserve"> de consumo</w:t>
      </w:r>
      <w:r w:rsidRPr="000D2830">
        <w:rPr>
          <w:rFonts w:ascii="gobCL" w:eastAsia="gobCL" w:hAnsi="gobCL" w:cs="gobCL"/>
          <w:b/>
          <w:color w:val="000000"/>
        </w:rPr>
        <w:t xml:space="preserve">. </w:t>
      </w:r>
      <w:r w:rsidRPr="000D2830">
        <w:rPr>
          <w:rFonts w:ascii="gobCL" w:eastAsia="gobCL" w:hAnsi="gobCL" w:cs="gobCL"/>
          <w:color w:val="000000"/>
        </w:rPr>
        <w:t xml:space="preserve"> </w:t>
      </w:r>
      <w:r w:rsidRPr="00994325">
        <w:rPr>
          <w:rFonts w:ascii="gobCL" w:eastAsia="gobCL" w:hAnsi="gobCL" w:cs="gobCL"/>
          <w:color w:val="000000"/>
        </w:rPr>
        <w:t xml:space="preserve">Considera el pago del capital de la deuda y no de los intereses. </w:t>
      </w:r>
      <w:r w:rsidRPr="00033AC4">
        <w:rPr>
          <w:rFonts w:ascii="gobCL" w:eastAsia="gobCL" w:hAnsi="gobCL" w:cs="gobCL"/>
          <w:b/>
          <w:color w:val="000000"/>
          <w:u w:val="single"/>
        </w:rPr>
        <w:t xml:space="preserve">Los </w:t>
      </w:r>
      <w:r w:rsidR="006C08A4" w:rsidRPr="00033AC4">
        <w:rPr>
          <w:rFonts w:ascii="gobCL" w:eastAsia="gobCL" w:hAnsi="gobCL" w:cs="gobCL"/>
          <w:b/>
          <w:color w:val="000000"/>
          <w:u w:val="single"/>
        </w:rPr>
        <w:t xml:space="preserve">créditos deben estar suscritos </w:t>
      </w:r>
      <w:r w:rsidRPr="00033AC4">
        <w:rPr>
          <w:rFonts w:ascii="gobCL" w:eastAsia="gobCL" w:hAnsi="gobCL" w:cs="gobCL"/>
          <w:b/>
          <w:color w:val="000000"/>
          <w:u w:val="single"/>
        </w:rPr>
        <w:t>con instituciones financieras, y deben estar a nombre de la empresa</w:t>
      </w:r>
      <w:r w:rsidRPr="00994325">
        <w:rPr>
          <w:rFonts w:ascii="gobCL" w:eastAsia="gobCL" w:hAnsi="gobCL" w:cs="gobCL"/>
          <w:color w:val="000000"/>
        </w:rPr>
        <w:t>. Se podrán pagar hasta 4 cuotas, con un máximo de una</w:t>
      </w:r>
      <w:r>
        <w:rPr>
          <w:rFonts w:ascii="gobCL" w:eastAsia="gobCL" w:hAnsi="gobCL" w:cs="gobCL"/>
          <w:color w:val="000000"/>
        </w:rPr>
        <w:t xml:space="preserve"> cuota</w:t>
      </w:r>
      <w:r w:rsidRPr="00994325">
        <w:rPr>
          <w:rFonts w:ascii="gobCL" w:eastAsia="gobCL" w:hAnsi="gobCL" w:cs="gobCL"/>
          <w:color w:val="000000"/>
        </w:rPr>
        <w:t xml:space="preserve"> retroactiva a la vigencia del contrato suscrito por el beneficiario con el Agente Sercotec.  </w:t>
      </w:r>
    </w:p>
    <w:p w14:paraId="5E59EE46" w14:textId="2006E5D2" w:rsidR="00C5797B" w:rsidRDefault="00C5797B" w:rsidP="00C5797B">
      <w:pPr>
        <w:numPr>
          <w:ilvl w:val="0"/>
          <w:numId w:val="10"/>
        </w:numPr>
        <w:pBdr>
          <w:top w:val="nil"/>
          <w:left w:val="nil"/>
          <w:bottom w:val="nil"/>
          <w:right w:val="nil"/>
          <w:between w:val="nil"/>
        </w:pBdr>
        <w:jc w:val="both"/>
        <w:rPr>
          <w:rFonts w:ascii="gobCL" w:eastAsia="gobCL" w:hAnsi="gobCL" w:cs="gobCL"/>
          <w:color w:val="000000"/>
        </w:rPr>
      </w:pPr>
      <w:r w:rsidRPr="00994325">
        <w:rPr>
          <w:rFonts w:ascii="gobCL" w:eastAsia="gobCL" w:hAnsi="gobCL" w:cs="gobCL"/>
          <w:b/>
          <w:color w:val="000000"/>
        </w:rPr>
        <w:t xml:space="preserve"> El pago de sueldos.</w:t>
      </w:r>
      <w:r w:rsidRPr="00994325">
        <w:rPr>
          <w:rFonts w:ascii="gobCL" w:eastAsia="gobCL" w:hAnsi="gobCL" w:cs="gobCL"/>
          <w:color w:val="000000"/>
        </w:rPr>
        <w:t xml:space="preserve"> Considera el pago de sueldos </w:t>
      </w:r>
      <w:r>
        <w:rPr>
          <w:rFonts w:ascii="gobCL" w:eastAsia="gobCL" w:hAnsi="gobCL" w:cs="gobCL"/>
          <w:color w:val="000000"/>
        </w:rPr>
        <w:t>para aquellos casos en do</w:t>
      </w:r>
      <w:r w:rsidRPr="00994325">
        <w:rPr>
          <w:rFonts w:ascii="gobCL" w:eastAsia="gobCL" w:hAnsi="gobCL" w:cs="gobCL"/>
          <w:color w:val="000000"/>
        </w:rPr>
        <w:t>nde el empleador no se haya adscrito a la Ley 21.227 sobre Protección del Empleo</w:t>
      </w:r>
      <w:r w:rsidR="0017165A">
        <w:rPr>
          <w:rStyle w:val="Refdenotaalpie"/>
          <w:rFonts w:ascii="gobCL" w:eastAsia="gobCL" w:hAnsi="gobCL" w:cs="gobCL"/>
          <w:color w:val="000000"/>
        </w:rPr>
        <w:footnoteReference w:id="2"/>
      </w:r>
      <w:r w:rsidRPr="00994325">
        <w:rPr>
          <w:rFonts w:ascii="gobCL" w:eastAsia="gobCL" w:hAnsi="gobCL" w:cs="gobCL"/>
          <w:color w:val="000000"/>
        </w:rPr>
        <w:t xml:space="preserve">. Se podrá pagar sueldos desde </w:t>
      </w:r>
      <w:r>
        <w:rPr>
          <w:rFonts w:ascii="gobCL" w:eastAsia="gobCL" w:hAnsi="gobCL" w:cs="gobCL"/>
          <w:color w:val="000000"/>
        </w:rPr>
        <w:t>el 20 de marzo</w:t>
      </w:r>
      <w:r w:rsidRPr="00994325">
        <w:rPr>
          <w:rFonts w:ascii="gobCL" w:eastAsia="gobCL" w:hAnsi="gobCL" w:cs="gobCL"/>
          <w:color w:val="000000"/>
        </w:rPr>
        <w:t xml:space="preserve"> y hasta julio del 2020.</w:t>
      </w:r>
      <w:r>
        <w:rPr>
          <w:rFonts w:ascii="gobCL" w:eastAsia="gobCL" w:hAnsi="gobCL" w:cs="gobCL"/>
          <w:color w:val="000000"/>
        </w:rPr>
        <w:t xml:space="preserve"> </w:t>
      </w:r>
      <w:r w:rsidRPr="0063721B">
        <w:rPr>
          <w:rFonts w:ascii="gobCL" w:eastAsia="gobCL" w:hAnsi="gobCL" w:cs="gobCL"/>
          <w:color w:val="000000"/>
        </w:rPr>
        <w:t>Para el pago retroactivo de este tipo de gasto, el contrato de trabajo, debe estar vigente y haber sido firmado en una fecha anterior al 1 de diciembre de 2019.</w:t>
      </w:r>
    </w:p>
    <w:p w14:paraId="3B16E5EC" w14:textId="77777777" w:rsidR="00C5797B" w:rsidRPr="009F542C" w:rsidRDefault="00C5797B" w:rsidP="00C5797B">
      <w:pPr>
        <w:numPr>
          <w:ilvl w:val="0"/>
          <w:numId w:val="10"/>
        </w:numPr>
        <w:pBdr>
          <w:top w:val="nil"/>
          <w:left w:val="nil"/>
          <w:bottom w:val="nil"/>
          <w:right w:val="nil"/>
          <w:between w:val="nil"/>
        </w:pBdr>
        <w:jc w:val="both"/>
        <w:rPr>
          <w:rFonts w:ascii="gobCL" w:eastAsia="gobCL" w:hAnsi="gobCL" w:cs="gobCL"/>
          <w:color w:val="000000"/>
        </w:rPr>
      </w:pPr>
      <w:r w:rsidRPr="009F542C">
        <w:rPr>
          <w:rFonts w:ascii="gobCL" w:eastAsia="gobCL" w:hAnsi="gobCL" w:cs="gobCL"/>
          <w:color w:val="000000"/>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787F5730" w14:textId="77777777" w:rsidR="00C5797B" w:rsidRPr="00F95288" w:rsidRDefault="00C5797B" w:rsidP="00C5797B">
      <w:pPr>
        <w:numPr>
          <w:ilvl w:val="0"/>
          <w:numId w:val="10"/>
        </w:numPr>
        <w:pBdr>
          <w:top w:val="nil"/>
          <w:left w:val="nil"/>
          <w:bottom w:val="nil"/>
          <w:right w:val="nil"/>
          <w:between w:val="nil"/>
        </w:pBdr>
        <w:jc w:val="both"/>
        <w:rPr>
          <w:rFonts w:ascii="gobCL" w:eastAsia="gobCL" w:hAnsi="gobCL" w:cs="gobCL"/>
          <w:color w:val="000000"/>
        </w:rPr>
      </w:pPr>
      <w:r w:rsidRPr="009F542C">
        <w:rPr>
          <w:rFonts w:ascii="gobCL" w:eastAsia="gobCL" w:hAnsi="gobCL" w:cs="gobCL"/>
          <w:color w:val="000000"/>
        </w:rPr>
        <w:t xml:space="preserve">En todos los ítems se podrán financiar los costos por fletes derivados de la compra y traslado de activos fijos y capital de trabajo. En todos ellos se excluye el pago de servicio de flete a alguno de los socios/as, representantes legales o de sus respectivos cónyuges, conviviente civil, familiares por consanguineidad y </w:t>
      </w:r>
      <w:r w:rsidRPr="009F542C">
        <w:rPr>
          <w:rFonts w:ascii="gobCL" w:eastAsia="gobCL" w:hAnsi="gobCL" w:cs="gobCL"/>
          <w:color w:val="000000"/>
        </w:rPr>
        <w:lastRenderedPageBreak/>
        <w:t>afinidad hasta segundo grado inclusive (hijos, padre, madre y hermanos entre otros), y autocontrataciones.</w:t>
      </w:r>
    </w:p>
    <w:p w14:paraId="4840BF14" w14:textId="77777777" w:rsidR="00C5797B" w:rsidRDefault="00C5797B" w:rsidP="00C5797B">
      <w:pPr>
        <w:pBdr>
          <w:top w:val="nil"/>
          <w:left w:val="nil"/>
          <w:bottom w:val="nil"/>
          <w:right w:val="nil"/>
          <w:between w:val="nil"/>
        </w:pBdr>
        <w:spacing w:after="0"/>
        <w:ind w:left="720" w:hanging="720"/>
        <w:rPr>
          <w:rFonts w:ascii="gobCL" w:eastAsia="gobCL" w:hAnsi="gobCL" w:cs="gobCL"/>
          <w:b/>
          <w:color w:val="000000"/>
        </w:rPr>
      </w:pPr>
    </w:p>
    <w:p w14:paraId="76EF38CE" w14:textId="77777777" w:rsidR="00C5797B" w:rsidRDefault="00C5797B" w:rsidP="00C5797B">
      <w:pPr>
        <w:numPr>
          <w:ilvl w:val="0"/>
          <w:numId w:val="1"/>
        </w:numPr>
        <w:pBdr>
          <w:top w:val="nil"/>
          <w:left w:val="nil"/>
          <w:bottom w:val="nil"/>
          <w:right w:val="nil"/>
          <w:between w:val="nil"/>
        </w:pBdr>
        <w:spacing w:after="0"/>
        <w:jc w:val="both"/>
        <w:rPr>
          <w:rFonts w:ascii="gobCL" w:eastAsia="gobCL" w:hAnsi="gobCL" w:cs="gobCL"/>
          <w:color w:val="000000"/>
        </w:rPr>
      </w:pPr>
      <w:r>
        <w:rPr>
          <w:rFonts w:ascii="gobCL" w:eastAsia="gobCL" w:hAnsi="gobCL" w:cs="gobCL"/>
          <w:b/>
          <w:color w:val="000000"/>
        </w:rPr>
        <w:t xml:space="preserve">Promoción, publicidad y difusión: </w:t>
      </w:r>
      <w:r>
        <w:rPr>
          <w:rFonts w:ascii="gobCL" w:eastAsia="gobCL" w:hAnsi="gobCL" w:cs="gobCL"/>
          <w:color w:val="000000"/>
        </w:rPr>
        <w:t xml:space="preserve">comprende el gasto en contratación de servicios publicitarios, de promoción y difusión de los proyectos de fomento productivo, incluidas a además servicios asociados a Marketing Digital.     </w:t>
      </w:r>
    </w:p>
    <w:p w14:paraId="7F9BBB9A" w14:textId="77777777" w:rsidR="002862B1"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77777777" w:rsidR="002862B1" w:rsidRDefault="007C48F8">
      <w:pPr>
        <w:pBdr>
          <w:top w:val="nil"/>
          <w:left w:val="nil"/>
          <w:bottom w:val="nil"/>
          <w:right w:val="nil"/>
          <w:between w:val="nil"/>
        </w:pBdr>
        <w:spacing w:after="0"/>
        <w:jc w:val="both"/>
        <w:rPr>
          <w:rFonts w:ascii="gobCL" w:eastAsia="gobCL" w:hAnsi="gobCL" w:cs="gobCL"/>
          <w:b/>
        </w:rPr>
      </w:pPr>
      <w:r>
        <w:rPr>
          <w:rFonts w:ascii="gobCL" w:eastAsia="gobCL" w:hAnsi="gobCL" w:cs="gobCL"/>
          <w:b/>
        </w:rPr>
        <w:t xml:space="preserve">2.5. No se puede financiar con recursos Sercotec: </w:t>
      </w:r>
    </w:p>
    <w:p w14:paraId="7E4FFF05" w14:textId="77777777" w:rsidR="002862B1"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Default="007C48F8">
      <w:pPr>
        <w:numPr>
          <w:ilvl w:val="0"/>
          <w:numId w:val="2"/>
        </w:numPr>
        <w:pBdr>
          <w:top w:val="nil"/>
          <w:left w:val="nil"/>
          <w:bottom w:val="nil"/>
          <w:right w:val="nil"/>
          <w:between w:val="nil"/>
        </w:pBdr>
        <w:spacing w:after="80"/>
        <w:rPr>
          <w:rFonts w:ascii="gobCL" w:eastAsia="gobCL" w:hAnsi="gobCL" w:cs="gobCL"/>
          <w:color w:val="000000"/>
        </w:rPr>
      </w:pPr>
      <w:r>
        <w:rPr>
          <w:rFonts w:ascii="gobCL" w:eastAsia="gobCL" w:hAnsi="gobCL" w:cs="gobCL"/>
          <w:color w:val="000000"/>
        </w:rPr>
        <w:t>Lucro cesante</w:t>
      </w:r>
      <w:r>
        <w:rPr>
          <w:rFonts w:ascii="gobCL" w:eastAsia="gobCL" w:hAnsi="gobCL" w:cs="gobCL"/>
          <w:color w:val="000000"/>
          <w:vertAlign w:val="superscript"/>
        </w:rPr>
        <w:footnoteReference w:id="3"/>
      </w:r>
      <w:r>
        <w:rPr>
          <w:rFonts w:ascii="gobCL" w:eastAsia="gobCL" w:hAnsi="gobCL" w:cs="gobCL"/>
          <w:color w:val="000000"/>
        </w:rPr>
        <w:t xml:space="preserve"> ni sueldos patronales. </w:t>
      </w:r>
    </w:p>
    <w:p w14:paraId="73880C0D" w14:textId="77777777" w:rsidR="002862B1"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Pr>
          <w:rFonts w:ascii="gobCL" w:eastAsia="gobCL" w:hAnsi="gobCL" w:cs="gobCL"/>
          <w:color w:val="000000"/>
        </w:rPr>
        <w:t>Ningún tipo de impuestos que tengan carácter de recuperables por parte del beneficiario y/o AOS, o que gener</w:t>
      </w:r>
      <w:r>
        <w:rPr>
          <w:rFonts w:ascii="gobCL" w:eastAsia="gobCL" w:hAnsi="gobCL" w:cs="gobCL"/>
        </w:rPr>
        <w:t>e</w:t>
      </w:r>
      <w:r>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Pr>
          <w:rFonts w:ascii="gobCL" w:eastAsia="gobCL" w:hAnsi="gobCL" w:cs="gobCL"/>
        </w:rPr>
        <w:t>L</w:t>
      </w:r>
      <w:r>
        <w:rPr>
          <w:rFonts w:ascii="gobCL" w:eastAsia="gobCL" w:hAnsi="gobCL" w:cs="gobCL"/>
          <w:color w:val="000000"/>
        </w:rPr>
        <w:t xml:space="preserve">ibro de </w:t>
      </w:r>
      <w:r>
        <w:rPr>
          <w:rFonts w:ascii="gobCL" w:eastAsia="gobCL" w:hAnsi="gobCL" w:cs="gobCL"/>
        </w:rPr>
        <w:t>C</w:t>
      </w:r>
      <w:r>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 compra de bienes raíces, valores e instrumentos financieros (ahorros a plazo, depósitos en fondos mutuos, entre otros).</w:t>
      </w:r>
    </w:p>
    <w:p w14:paraId="3F82EB16" w14:textId="7777777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Las compras consigo mismo, ni con sus respectivos cónyuges, convivientes civiles, hijos/as, ni las auto contrataciones</w:t>
      </w:r>
      <w:r>
        <w:rPr>
          <w:rFonts w:ascii="gobCL" w:eastAsia="gobCL" w:hAnsi="gobCL" w:cs="gobCL"/>
          <w:color w:val="000000"/>
          <w:vertAlign w:val="superscript"/>
        </w:rPr>
        <w:footnoteReference w:id="4"/>
      </w:r>
      <w:r>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3E05FF9" w:rsidR="002862B1" w:rsidRPr="0056277B"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56277B">
        <w:rPr>
          <w:rFonts w:ascii="gobCL" w:eastAsia="gobCL" w:hAnsi="gobCL" w:cs="gobCL"/>
          <w:color w:val="000000"/>
        </w:rPr>
        <w:t>Cuotas de créditos personales, garantías en obligaciones financieras, prenda, endoso, ni transferencias a terceros</w:t>
      </w:r>
      <w:r w:rsidR="00BC51C4" w:rsidRPr="0056277B">
        <w:rPr>
          <w:rFonts w:ascii="gobCL" w:eastAsia="gobCL" w:hAnsi="gobCL" w:cs="gobCL"/>
          <w:color w:val="000000"/>
        </w:rPr>
        <w:t>, salvo los expresamente autorizados</w:t>
      </w:r>
      <w:r w:rsidR="0032491E" w:rsidRPr="0056277B">
        <w:rPr>
          <w:rFonts w:ascii="gobCL" w:eastAsia="gobCL" w:hAnsi="gobCL" w:cs="gobCL"/>
          <w:color w:val="000000"/>
        </w:rPr>
        <w:t xml:space="preserve"> en las presentes bases punto 2.4 letra b. Capital de Trabajo</w:t>
      </w:r>
      <w:r w:rsidR="00BC51C4" w:rsidRPr="0056277B">
        <w:rPr>
          <w:rFonts w:ascii="gobCL" w:eastAsia="gobCL" w:hAnsi="gobCL" w:cs="gobCL"/>
          <w:color w:val="000000"/>
        </w:rPr>
        <w:t>.</w:t>
      </w:r>
      <w:r w:rsidR="0056277B">
        <w:rPr>
          <w:rFonts w:ascii="gobCL" w:eastAsia="gobCL" w:hAnsi="gobCL" w:cs="gobCL"/>
          <w:color w:val="000000"/>
        </w:rPr>
        <w:t xml:space="preserve"> Los créditos deben estar a nombre de la empresa y destinarse a su provecho. </w:t>
      </w:r>
    </w:p>
    <w:p w14:paraId="31334125" w14:textId="7777777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b/>
          <w:color w:val="000000"/>
        </w:rPr>
      </w:pPr>
      <w:r>
        <w:rPr>
          <w:rFonts w:ascii="gobCL" w:eastAsia="gobCL" w:hAnsi="gobCL" w:cs="gobCL"/>
          <w:color w:val="000000"/>
        </w:rPr>
        <w:t>El pago de deudas (ejemplo deudas de casas comerciales), intereses o dividendos</w:t>
      </w:r>
      <w:r>
        <w:rPr>
          <w:rFonts w:ascii="gobCL" w:eastAsia="gobCL" w:hAnsi="gobCL" w:cs="gobCL"/>
        </w:rPr>
        <w:t xml:space="preserve">, </w:t>
      </w:r>
      <w:r>
        <w:rPr>
          <w:rFonts w:ascii="gobCL" w:eastAsia="gobCL" w:hAnsi="gobCL" w:cs="gobCL"/>
          <w:b/>
        </w:rPr>
        <w:t>salvo las expresamente autorizadas en las presentes bases.</w:t>
      </w:r>
    </w:p>
    <w:p w14:paraId="1656F9AB" w14:textId="77777777"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color w:val="000000"/>
        </w:rPr>
        <w:t>El pago a consultores (terceros) por asistencia en la etapa de postulación al instrumento.</w:t>
      </w:r>
    </w:p>
    <w:p w14:paraId="21B4C4B4" w14:textId="2B648D4C" w:rsidR="002862B1"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Pr>
          <w:rFonts w:ascii="gobCL" w:eastAsia="gobCL" w:hAnsi="gobCL" w:cs="gobCL"/>
        </w:rPr>
        <w:lastRenderedPageBreak/>
        <w:t xml:space="preserve"> </w:t>
      </w:r>
      <w:r w:rsidR="002A42E8">
        <w:rPr>
          <w:rFonts w:ascii="gobCL" w:eastAsia="gobCL" w:hAnsi="gobCL" w:cs="gobCL"/>
          <w:color w:val="000000"/>
        </w:rPr>
        <w:t xml:space="preserve">La adquisición u arrendamiento bajo cualquier forma de </w:t>
      </w:r>
      <w:r>
        <w:rPr>
          <w:rFonts w:ascii="gobCL" w:eastAsia="gobCL" w:hAnsi="gobCL" w:cs="gobCL"/>
          <w:color w:val="000000"/>
        </w:rPr>
        <w:t>vehículo</w:t>
      </w:r>
      <w:r w:rsidR="0032491E">
        <w:rPr>
          <w:rFonts w:ascii="gobCL" w:eastAsia="gobCL" w:hAnsi="gobCL" w:cs="gobCL"/>
          <w:color w:val="000000"/>
        </w:rPr>
        <w:t>s</w:t>
      </w:r>
      <w:r>
        <w:rPr>
          <w:rFonts w:ascii="gobCL" w:eastAsia="gobCL" w:hAnsi="gobCL" w:cs="gobCL"/>
          <w:color w:val="000000"/>
        </w:rPr>
        <w:t xml:space="preserve"> que requiera</w:t>
      </w:r>
      <w:r w:rsidR="0032491E">
        <w:rPr>
          <w:rFonts w:ascii="gobCL" w:eastAsia="gobCL" w:hAnsi="gobCL" w:cs="gobCL"/>
          <w:color w:val="000000"/>
        </w:rPr>
        <w:t>n</w:t>
      </w:r>
      <w:r>
        <w:rPr>
          <w:rFonts w:ascii="gobCL" w:eastAsia="gobCL" w:hAnsi="gobCL" w:cs="gobCL"/>
          <w:color w:val="000000"/>
        </w:rPr>
        <w:t xml:space="preserve"> permiso de circulación (patente). </w:t>
      </w:r>
    </w:p>
    <w:p w14:paraId="2EEAEDFB" w14:textId="77777777" w:rsidR="002862B1" w:rsidRDefault="007C48F8">
      <w:pPr>
        <w:spacing w:before="240" w:after="240" w:line="240" w:lineRule="auto"/>
        <w:jc w:val="both"/>
        <w:rPr>
          <w:rFonts w:ascii="gobCL" w:eastAsia="gobCL" w:hAnsi="gobCL" w:cs="gobCL"/>
          <w:b/>
        </w:rPr>
      </w:pPr>
      <w:r>
        <w:rPr>
          <w:rFonts w:ascii="gobCL" w:eastAsia="gobCL" w:hAnsi="gobCL" w:cs="gobCL"/>
          <w:b/>
        </w:rPr>
        <w:t>3. Postulación</w:t>
      </w:r>
    </w:p>
    <w:p w14:paraId="05B87FB1" w14:textId="77777777" w:rsidR="002862B1" w:rsidRDefault="007C48F8">
      <w:pPr>
        <w:spacing w:before="240" w:after="240" w:line="240" w:lineRule="auto"/>
        <w:jc w:val="both"/>
        <w:rPr>
          <w:rFonts w:ascii="gobCL" w:eastAsia="gobCL" w:hAnsi="gobCL" w:cs="gobCL"/>
          <w:b/>
        </w:rPr>
      </w:pPr>
      <w:r>
        <w:rPr>
          <w:rFonts w:ascii="gobCL" w:eastAsia="gobCL" w:hAnsi="gobCL" w:cs="gobCL"/>
          <w:b/>
        </w:rPr>
        <w:t>3.1. Plazos de postulación</w:t>
      </w:r>
      <w:r>
        <w:rPr>
          <w:rFonts w:ascii="gobCL" w:eastAsia="gobCL" w:hAnsi="gobCL" w:cs="gobCL"/>
          <w:b/>
          <w:vertAlign w:val="superscript"/>
        </w:rPr>
        <w:footnoteReference w:id="5"/>
      </w:r>
    </w:p>
    <w:p w14:paraId="1207640C" w14:textId="653F4B2C" w:rsidR="002862B1" w:rsidRDefault="007C48F8">
      <w:pPr>
        <w:spacing w:before="240" w:after="240" w:line="240" w:lineRule="auto"/>
        <w:jc w:val="both"/>
        <w:rPr>
          <w:rFonts w:ascii="gobCL" w:eastAsia="gobCL" w:hAnsi="gobCL" w:cs="gobCL"/>
          <w:b/>
        </w:rPr>
      </w:pPr>
      <w:r w:rsidRPr="00B2442B">
        <w:rPr>
          <w:rFonts w:ascii="gobCL" w:eastAsia="gobCL" w:hAnsi="gobCL" w:cs="gobCL"/>
          <w:b/>
          <w:highlight w:val="yellow"/>
        </w:rPr>
        <w:t xml:space="preserve">Los/as interesados/as podrán iniciar y enviar su postulación a contar de las 12:00 horas del día </w:t>
      </w:r>
      <w:r w:rsidR="00844188">
        <w:rPr>
          <w:rFonts w:ascii="gobCL" w:eastAsia="gobCL" w:hAnsi="gobCL" w:cs="gobCL"/>
          <w:b/>
          <w:highlight w:val="yellow"/>
        </w:rPr>
        <w:t>13</w:t>
      </w:r>
      <w:r w:rsidR="00844188" w:rsidRPr="00B2442B">
        <w:rPr>
          <w:rFonts w:ascii="gobCL" w:eastAsia="gobCL" w:hAnsi="gobCL" w:cs="gobCL"/>
          <w:b/>
          <w:highlight w:val="yellow"/>
        </w:rPr>
        <w:t xml:space="preserve"> </w:t>
      </w:r>
      <w:r w:rsidRPr="00B2442B">
        <w:rPr>
          <w:rFonts w:ascii="gobCL" w:eastAsia="gobCL" w:hAnsi="gobCL" w:cs="gobCL"/>
          <w:b/>
          <w:highlight w:val="yellow"/>
        </w:rPr>
        <w:t xml:space="preserve">de </w:t>
      </w:r>
      <w:r w:rsidR="00B10304">
        <w:rPr>
          <w:rFonts w:ascii="gobCL" w:eastAsia="gobCL" w:hAnsi="gobCL" w:cs="gobCL"/>
          <w:b/>
          <w:highlight w:val="yellow"/>
        </w:rPr>
        <w:t>Mayo</w:t>
      </w:r>
      <w:r w:rsidR="00B10304" w:rsidRPr="00B2442B">
        <w:rPr>
          <w:rFonts w:ascii="gobCL" w:eastAsia="gobCL" w:hAnsi="gobCL" w:cs="gobCL"/>
          <w:b/>
          <w:highlight w:val="yellow"/>
        </w:rPr>
        <w:t xml:space="preserve"> </w:t>
      </w:r>
      <w:r w:rsidRPr="00B2442B">
        <w:rPr>
          <w:rFonts w:ascii="gobCL" w:eastAsia="gobCL" w:hAnsi="gobCL" w:cs="gobCL"/>
          <w:b/>
          <w:highlight w:val="yellow"/>
        </w:rPr>
        <w:t xml:space="preserve">de 2020, hasta las 12:00 horas del día </w:t>
      </w:r>
      <w:r w:rsidR="00844188">
        <w:rPr>
          <w:rFonts w:ascii="gobCL" w:eastAsia="gobCL" w:hAnsi="gobCL" w:cs="gobCL"/>
          <w:b/>
          <w:highlight w:val="yellow"/>
        </w:rPr>
        <w:t>27</w:t>
      </w:r>
      <w:r w:rsidR="00844188" w:rsidRPr="00B2442B">
        <w:rPr>
          <w:rFonts w:ascii="gobCL" w:eastAsia="gobCL" w:hAnsi="gobCL" w:cs="gobCL"/>
          <w:b/>
          <w:highlight w:val="yellow"/>
        </w:rPr>
        <w:t xml:space="preserve"> </w:t>
      </w:r>
      <w:r w:rsidRPr="00B2442B">
        <w:rPr>
          <w:rFonts w:ascii="gobCL" w:eastAsia="gobCL" w:hAnsi="gobCL" w:cs="gobCL"/>
          <w:b/>
          <w:highlight w:val="yellow"/>
        </w:rPr>
        <w:t xml:space="preserve">de </w:t>
      </w:r>
      <w:r w:rsidR="00B10304">
        <w:rPr>
          <w:rFonts w:ascii="gobCL" w:eastAsia="gobCL" w:hAnsi="gobCL" w:cs="gobCL"/>
          <w:b/>
          <w:highlight w:val="yellow"/>
        </w:rPr>
        <w:t>Mayo</w:t>
      </w:r>
      <w:r w:rsidRPr="00B2442B">
        <w:rPr>
          <w:rFonts w:ascii="gobCL" w:eastAsia="gobCL" w:hAnsi="gobCL" w:cs="gobCL"/>
          <w:b/>
          <w:highlight w:val="yellow"/>
        </w:rPr>
        <w:t xml:space="preserve"> 2020.</w:t>
      </w:r>
      <w:r w:rsidRPr="00B2442B">
        <w:rPr>
          <w:rFonts w:ascii="gobCL" w:eastAsia="gobCL" w:hAnsi="gobCL" w:cs="gobCL"/>
          <w:b/>
          <w:highlight w:val="yellow"/>
          <w:vertAlign w:val="superscript"/>
        </w:rPr>
        <w:footnoteReference w:id="6"/>
      </w:r>
    </w:p>
    <w:p w14:paraId="4095E36C" w14:textId="77777777" w:rsidR="002862B1" w:rsidRDefault="007C48F8">
      <w:pPr>
        <w:spacing w:before="240" w:after="240" w:line="240" w:lineRule="auto"/>
        <w:jc w:val="both"/>
        <w:rPr>
          <w:rFonts w:ascii="gobCL" w:eastAsia="gobCL" w:hAnsi="gobCL" w:cs="gobCL"/>
        </w:rPr>
      </w:pPr>
      <w:r>
        <w:rPr>
          <w:rFonts w:ascii="gobCL" w:eastAsia="gobCL" w:hAnsi="gobCL" w:cs="gobCL"/>
        </w:rPr>
        <w:t>La hora a considerar para los efectos del cierre de la convocatoria, será aquella configurada en los servidores de Sercotec</w:t>
      </w:r>
      <w:r>
        <w:rPr>
          <w:rFonts w:ascii="gobCL" w:eastAsia="gobCL" w:hAnsi="gobCL" w:cs="gobCL"/>
          <w:vertAlign w:val="superscript"/>
        </w:rPr>
        <w:footnoteReference w:id="7"/>
      </w:r>
    </w:p>
    <w:p w14:paraId="51426F83"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Los plazos anteriormente señalados podrán ser modificados por Sercotec y serán oportunamente informados a través de la página web </w:t>
      </w:r>
      <w:hyperlink r:id="rId10">
        <w:r>
          <w:rPr>
            <w:rFonts w:ascii="gobCL" w:eastAsia="gobCL" w:hAnsi="gobCL" w:cs="gobCL"/>
            <w:color w:val="0563C1"/>
            <w:u w:val="single"/>
          </w:rPr>
          <w:t>www.sercotec.cl</w:t>
        </w:r>
      </w:hyperlink>
      <w:r>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14:paraId="4374FE0D" w14:textId="77777777">
        <w:tc>
          <w:tcPr>
            <w:tcW w:w="8789" w:type="dxa"/>
            <w:shd w:val="clear" w:color="auto" w:fill="D9D9D9"/>
          </w:tcPr>
          <w:p w14:paraId="7CBCE727" w14:textId="77777777" w:rsidR="002862B1" w:rsidRDefault="007C48F8">
            <w:pPr>
              <w:jc w:val="both"/>
              <w:rPr>
                <w:rFonts w:ascii="gobCL" w:eastAsia="gobCL" w:hAnsi="gobCL" w:cs="gobCL"/>
                <w:b/>
                <w:sz w:val="22"/>
                <w:szCs w:val="22"/>
                <w:u w:val="single"/>
              </w:rPr>
            </w:pPr>
            <w:r>
              <w:rPr>
                <w:rFonts w:ascii="gobCL" w:eastAsia="gobCL" w:hAnsi="gobCL" w:cs="gobCL"/>
                <w:b/>
                <w:sz w:val="22"/>
                <w:szCs w:val="22"/>
                <w:u w:val="single"/>
              </w:rPr>
              <w:t>IMPORTANTE</w:t>
            </w:r>
          </w:p>
          <w:p w14:paraId="75FCB8F4" w14:textId="77777777" w:rsidR="002862B1" w:rsidRDefault="007C48F8">
            <w:pPr>
              <w:jc w:val="both"/>
              <w:rPr>
                <w:rFonts w:ascii="gobCL" w:eastAsia="gobCL" w:hAnsi="gobCL" w:cs="gobCL"/>
                <w:sz w:val="22"/>
                <w:szCs w:val="22"/>
              </w:rPr>
            </w:pPr>
            <w:r>
              <w:rPr>
                <w:rFonts w:ascii="gobCL" w:eastAsia="gobCL" w:hAnsi="gobCL" w:cs="gobCL"/>
                <w:sz w:val="22"/>
                <w:szCs w:val="22"/>
              </w:rPr>
              <w:t>Las postulaciones deben ser individuales y, por lo tanto, Sercotec aceptará como máximo una postulación por empresa.</w:t>
            </w:r>
          </w:p>
          <w:p w14:paraId="7B505728" w14:textId="77777777" w:rsidR="002862B1" w:rsidRDefault="002862B1">
            <w:pPr>
              <w:jc w:val="both"/>
              <w:rPr>
                <w:rFonts w:ascii="gobCL" w:eastAsia="gobCL" w:hAnsi="gobCL" w:cs="gobCL"/>
                <w:sz w:val="22"/>
                <w:szCs w:val="22"/>
              </w:rPr>
            </w:pPr>
          </w:p>
          <w:p w14:paraId="542C96BC" w14:textId="77777777" w:rsidR="002862B1" w:rsidRDefault="007C48F8">
            <w:pPr>
              <w:jc w:val="both"/>
              <w:rPr>
                <w:rFonts w:ascii="gobCL" w:eastAsia="gobCL" w:hAnsi="gobCL" w:cs="gobCL"/>
                <w:sz w:val="22"/>
                <w:szCs w:val="22"/>
              </w:rPr>
            </w:pPr>
            <w:r>
              <w:rPr>
                <w:rFonts w:ascii="gobCL" w:eastAsia="gobCL" w:hAnsi="gobCL" w:cs="gobCL"/>
                <w:sz w:val="22"/>
                <w:szCs w:val="22"/>
              </w:rPr>
              <w:t xml:space="preserve">Una misma empresa no podrá resultar beneficiada más de una vez en el presente instrumento durante el año 2020. </w:t>
            </w:r>
          </w:p>
          <w:p w14:paraId="4D9F9837" w14:textId="77777777" w:rsidR="002862B1" w:rsidRDefault="002862B1">
            <w:pPr>
              <w:jc w:val="both"/>
              <w:rPr>
                <w:rFonts w:ascii="gobCL" w:eastAsia="gobCL" w:hAnsi="gobCL" w:cs="gobCL"/>
                <w:sz w:val="22"/>
                <w:szCs w:val="22"/>
              </w:rPr>
            </w:pPr>
          </w:p>
          <w:p w14:paraId="58C8D004" w14:textId="77777777" w:rsidR="002862B1" w:rsidRDefault="007C48F8">
            <w:pPr>
              <w:jc w:val="both"/>
              <w:rPr>
                <w:rFonts w:ascii="gobCL" w:eastAsia="gobCL" w:hAnsi="gobCL" w:cs="gobCL"/>
                <w:sz w:val="22"/>
                <w:szCs w:val="22"/>
              </w:rPr>
            </w:pPr>
            <w:r>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p w14:paraId="198994E8" w14:textId="77777777" w:rsidR="00F33242" w:rsidRDefault="00F33242">
            <w:pPr>
              <w:jc w:val="both"/>
              <w:rPr>
                <w:rFonts w:ascii="gobCL" w:eastAsia="gobCL" w:hAnsi="gobCL" w:cs="gobCL"/>
                <w:sz w:val="22"/>
                <w:szCs w:val="22"/>
              </w:rPr>
            </w:pPr>
          </w:p>
          <w:p w14:paraId="7E9F61B9" w14:textId="1DD2307B" w:rsidR="00F33242" w:rsidRDefault="00F33242">
            <w:pPr>
              <w:jc w:val="both"/>
              <w:rPr>
                <w:rFonts w:ascii="gobCL" w:eastAsia="gobCL" w:hAnsi="gobCL" w:cs="gobCL"/>
              </w:rPr>
            </w:pPr>
            <w:r>
              <w:rPr>
                <w:rFonts w:ascii="gobCL" w:hAnsi="gobCL"/>
                <w:color w:val="000000"/>
                <w:sz w:val="22"/>
                <w:szCs w:val="22"/>
              </w:rPr>
              <w:t>Una misma empresa no podrá resultar beneficiada más de una vez en el presente instrumento durante el año 2020. En el caso que una misma empresa postule a más de una convocatoria y sea considerada admisible en todas ellas, deberá elegir sólo una convocatoria para continuar el proceso de evaluación técnica. Para estos efectos, deberá constar por escrito su renuncia y será evaluada con Nota 0 en el proceso de evaluación técnica de la convocatoria que renunció.</w:t>
            </w:r>
          </w:p>
        </w:tc>
      </w:tr>
    </w:tbl>
    <w:p w14:paraId="7BFD9B08" w14:textId="77777777" w:rsidR="002862B1" w:rsidRDefault="007C48F8">
      <w:pPr>
        <w:spacing w:before="240" w:after="240" w:line="240" w:lineRule="auto"/>
        <w:jc w:val="both"/>
        <w:rPr>
          <w:rFonts w:ascii="gobCL" w:eastAsia="gobCL" w:hAnsi="gobCL" w:cs="gobCL"/>
          <w:b/>
        </w:rPr>
      </w:pPr>
      <w:r>
        <w:rPr>
          <w:rFonts w:ascii="gobCL" w:eastAsia="gobCL" w:hAnsi="gobCL" w:cs="gobCL"/>
          <w:b/>
        </w:rPr>
        <w:t>3.2. Pasos para postular</w:t>
      </w:r>
    </w:p>
    <w:p w14:paraId="4B317239" w14:textId="77777777" w:rsidR="002862B1" w:rsidRDefault="007C48F8">
      <w:pPr>
        <w:spacing w:before="240" w:after="240" w:line="240" w:lineRule="auto"/>
        <w:jc w:val="both"/>
        <w:rPr>
          <w:rFonts w:ascii="gobCL" w:eastAsia="gobCL" w:hAnsi="gobCL" w:cs="gobCL"/>
        </w:rPr>
      </w:pPr>
      <w:r>
        <w:rPr>
          <w:rFonts w:ascii="gobCL" w:eastAsia="gobCL" w:hAnsi="gobCL" w:cs="gobCL"/>
        </w:rPr>
        <w:t>Para hacer efectiva la postulación, se deberán realizar las siguientes acciones:</w:t>
      </w:r>
    </w:p>
    <w:p w14:paraId="42F7D956" w14:textId="77777777" w:rsidR="002862B1" w:rsidRDefault="007C48F8">
      <w:pPr>
        <w:spacing w:before="240" w:after="240" w:line="240" w:lineRule="auto"/>
        <w:jc w:val="both"/>
        <w:rPr>
          <w:rFonts w:ascii="gobCL" w:eastAsia="gobCL" w:hAnsi="gobCL" w:cs="gobCL"/>
          <w:b/>
          <w:u w:val="single"/>
        </w:rPr>
      </w:pPr>
      <w:r>
        <w:rPr>
          <w:rFonts w:ascii="gobCL" w:eastAsia="gobCL" w:hAnsi="gobCL" w:cs="gobCL"/>
          <w:b/>
          <w:u w:val="single"/>
        </w:rPr>
        <w:t xml:space="preserve">a. Registro de usuario/a Sercotec </w:t>
      </w:r>
    </w:p>
    <w:p w14:paraId="39598FE9" w14:textId="77777777" w:rsidR="002862B1" w:rsidRDefault="007C48F8">
      <w:pPr>
        <w:spacing w:before="240" w:after="240" w:line="240" w:lineRule="auto"/>
        <w:jc w:val="both"/>
        <w:rPr>
          <w:rFonts w:ascii="gobCL" w:eastAsia="gobCL" w:hAnsi="gobCL" w:cs="gobCL"/>
        </w:rPr>
      </w:pPr>
      <w:r>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2C784154" w14:textId="77777777" w:rsidR="0017165A" w:rsidRDefault="0017165A">
      <w:pPr>
        <w:spacing w:before="240" w:after="240" w:line="240" w:lineRule="auto"/>
        <w:jc w:val="both"/>
        <w:rPr>
          <w:rFonts w:ascii="gobCL" w:eastAsia="gobCL" w:hAnsi="gobCL" w:cs="gobCL"/>
          <w:b/>
          <w:u w:val="single"/>
        </w:rPr>
      </w:pPr>
    </w:p>
    <w:p w14:paraId="3BF2A50D" w14:textId="5D5F4F76" w:rsidR="002862B1" w:rsidRDefault="007C48F8">
      <w:pPr>
        <w:spacing w:before="240" w:after="240" w:line="240" w:lineRule="auto"/>
        <w:jc w:val="both"/>
        <w:rPr>
          <w:rFonts w:ascii="gobCL" w:eastAsia="gobCL" w:hAnsi="gobCL" w:cs="gobCL"/>
          <w:b/>
          <w:u w:val="single"/>
        </w:rPr>
      </w:pPr>
      <w:r>
        <w:rPr>
          <w:rFonts w:ascii="gobCL" w:eastAsia="gobCL" w:hAnsi="gobCL" w:cs="gobCL"/>
          <w:b/>
          <w:u w:val="single"/>
        </w:rPr>
        <w:lastRenderedPageBreak/>
        <w:t>b. Formulario de postulación:</w:t>
      </w:r>
    </w:p>
    <w:p w14:paraId="66B2C188"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Cada empresa interesada deberá completar el formulario de postulación, disponible en </w:t>
      </w:r>
      <w:hyperlink r:id="rId11">
        <w:r>
          <w:rPr>
            <w:rFonts w:ascii="gobCL" w:eastAsia="gobCL" w:hAnsi="gobCL" w:cs="gobCL"/>
            <w:color w:val="0563C1"/>
            <w:u w:val="single"/>
          </w:rPr>
          <w:t>www.sercotec.cl</w:t>
        </w:r>
      </w:hyperlink>
      <w:r>
        <w:rPr>
          <w:rFonts w:ascii="gobCL" w:eastAsia="gobCL" w:hAnsi="gobCL" w:cs="gobCL"/>
        </w:rPr>
        <w:t xml:space="preserve">. </w:t>
      </w:r>
    </w:p>
    <w:p w14:paraId="72B76821" w14:textId="77777777" w:rsidR="002862B1" w:rsidRDefault="007C48F8">
      <w:pPr>
        <w:spacing w:before="240" w:after="240" w:line="240" w:lineRule="auto"/>
        <w:jc w:val="both"/>
        <w:rPr>
          <w:rFonts w:ascii="gobCL" w:eastAsia="gobCL" w:hAnsi="gobCL" w:cs="gobCL"/>
          <w:b/>
          <w:u w:val="single"/>
        </w:rPr>
      </w:pPr>
      <w:r>
        <w:rPr>
          <w:rFonts w:ascii="gobCL" w:eastAsia="gobCL" w:hAnsi="gobCL" w:cs="gobCL"/>
          <w:b/>
          <w:u w:val="single"/>
        </w:rPr>
        <w:t>c. Documentos adjuntos:</w:t>
      </w:r>
    </w:p>
    <w:p w14:paraId="01229F25" w14:textId="77777777" w:rsidR="002862B1" w:rsidRDefault="007C48F8">
      <w:pPr>
        <w:spacing w:before="240" w:after="240" w:line="240" w:lineRule="auto"/>
        <w:jc w:val="both"/>
        <w:rPr>
          <w:rFonts w:ascii="gobCL" w:eastAsia="gobCL" w:hAnsi="gobCL" w:cs="gobCL"/>
        </w:rPr>
      </w:pPr>
      <w:r>
        <w:rPr>
          <w:rFonts w:ascii="gobCL" w:eastAsia="gobCL" w:hAnsi="gobCL" w:cs="gobCL"/>
        </w:rPr>
        <w:t>Cada empresa postulante deberá adjuntar los siguientes documentos:</w:t>
      </w:r>
    </w:p>
    <w:p w14:paraId="178B1616" w14:textId="77777777" w:rsidR="00C5797B" w:rsidRPr="00B2442B" w:rsidRDefault="00C5797B" w:rsidP="00C5797B">
      <w:pPr>
        <w:numPr>
          <w:ilvl w:val="0"/>
          <w:numId w:val="4"/>
        </w:numPr>
        <w:pBdr>
          <w:top w:val="nil"/>
          <w:left w:val="nil"/>
          <w:bottom w:val="nil"/>
          <w:right w:val="nil"/>
          <w:between w:val="nil"/>
        </w:pBdr>
        <w:spacing w:before="240" w:after="0" w:line="240" w:lineRule="auto"/>
        <w:jc w:val="both"/>
        <w:rPr>
          <w:rFonts w:ascii="gobCL" w:eastAsia="gobCL" w:hAnsi="gobCL" w:cs="gobCL"/>
        </w:rPr>
      </w:pPr>
      <w:r w:rsidRPr="00B2442B">
        <w:rPr>
          <w:rFonts w:ascii="gobCL" w:eastAsia="gobCL" w:hAnsi="gobCL" w:cs="gobCL"/>
          <w:color w:val="000000"/>
        </w:rPr>
        <w:t xml:space="preserve">Carpeta tributaria para solicitar créditos completa, disponible en </w:t>
      </w:r>
      <w:hyperlink r:id="rId12">
        <w:r w:rsidRPr="00B2442B">
          <w:rPr>
            <w:rFonts w:ascii="gobCL" w:eastAsia="gobCL" w:hAnsi="gobCL" w:cs="gobCL"/>
            <w:color w:val="0563C1"/>
            <w:u w:val="single"/>
          </w:rPr>
          <w:t>www.sii.cl</w:t>
        </w:r>
      </w:hyperlink>
      <w:r w:rsidRPr="00B2442B">
        <w:rPr>
          <w:rFonts w:ascii="gobCL" w:eastAsia="gobCL" w:hAnsi="gobCL" w:cs="gobCL"/>
          <w:color w:val="000000"/>
        </w:rPr>
        <w:t xml:space="preserve">. </w:t>
      </w:r>
      <w:r w:rsidRPr="00B2442B">
        <w:rPr>
          <w:rFonts w:ascii="gobCL" w:eastAsia="gobCL" w:hAnsi="gobCL" w:cs="gobCL"/>
          <w:b/>
          <w:color w:val="000000"/>
        </w:rPr>
        <w:t xml:space="preserve">Se debe poner especial atención en que el documento contenga los formularios 29 del período </w:t>
      </w:r>
      <w:r w:rsidRPr="00B2442B">
        <w:rPr>
          <w:rFonts w:ascii="gobCL" w:eastAsia="gobCL" w:hAnsi="gobCL" w:cs="gobCL"/>
          <w:b/>
        </w:rPr>
        <w:t>octubre</w:t>
      </w:r>
      <w:r w:rsidRPr="00B2442B">
        <w:rPr>
          <w:rFonts w:ascii="gobCL" w:eastAsia="gobCL" w:hAnsi="gobCL" w:cs="gobCL"/>
          <w:b/>
          <w:color w:val="000000"/>
        </w:rPr>
        <w:t xml:space="preserve"> 201</w:t>
      </w:r>
      <w:r>
        <w:rPr>
          <w:rFonts w:ascii="gobCL" w:eastAsia="gobCL" w:hAnsi="gobCL" w:cs="gobCL"/>
          <w:b/>
          <w:color w:val="000000"/>
        </w:rPr>
        <w:t>8</w:t>
      </w:r>
      <w:r w:rsidRPr="00B2442B">
        <w:rPr>
          <w:rFonts w:ascii="gobCL" w:eastAsia="gobCL" w:hAnsi="gobCL" w:cs="gobCL"/>
          <w:b/>
          <w:color w:val="000000"/>
        </w:rPr>
        <w:t xml:space="preserve"> – </w:t>
      </w:r>
      <w:r w:rsidRPr="00B2442B">
        <w:rPr>
          <w:rFonts w:ascii="gobCL" w:eastAsia="gobCL" w:hAnsi="gobCL" w:cs="gobCL"/>
          <w:b/>
        </w:rPr>
        <w:t>marzo</w:t>
      </w:r>
      <w:r w:rsidRPr="00B2442B">
        <w:rPr>
          <w:rFonts w:ascii="gobCL" w:eastAsia="gobCL" w:hAnsi="gobCL" w:cs="gobCL"/>
          <w:b/>
          <w:color w:val="000000"/>
        </w:rPr>
        <w:t xml:space="preserve"> 2020, para empresas con la antigüedad suficiente. Para aquellas con una antigüedad inferior, se debe poner especial atención en que el documento contenga los formularios 29 del período </w:t>
      </w:r>
      <w:r w:rsidRPr="00B2442B">
        <w:rPr>
          <w:rFonts w:ascii="gobCL" w:eastAsia="gobCL" w:hAnsi="gobCL" w:cs="gobCL"/>
          <w:b/>
        </w:rPr>
        <w:t>octubre</w:t>
      </w:r>
      <w:r w:rsidRPr="00B2442B">
        <w:rPr>
          <w:rFonts w:ascii="gobCL" w:eastAsia="gobCL" w:hAnsi="gobCL" w:cs="gobCL"/>
          <w:b/>
          <w:color w:val="000000"/>
        </w:rPr>
        <w:t xml:space="preserve"> 2019 – </w:t>
      </w:r>
      <w:r w:rsidRPr="00B2442B">
        <w:rPr>
          <w:rFonts w:ascii="gobCL" w:eastAsia="gobCL" w:hAnsi="gobCL" w:cs="gobCL"/>
          <w:b/>
        </w:rPr>
        <w:t>marzo</w:t>
      </w:r>
      <w:r w:rsidRPr="00B2442B">
        <w:rPr>
          <w:rFonts w:ascii="gobCL" w:eastAsia="gobCL" w:hAnsi="gobCL" w:cs="gobCL"/>
          <w:b/>
          <w:color w:val="000000"/>
        </w:rPr>
        <w:t xml:space="preserve"> 20</w:t>
      </w:r>
      <w:r w:rsidRPr="00B2442B">
        <w:rPr>
          <w:rFonts w:ascii="gobCL" w:eastAsia="gobCL" w:hAnsi="gobCL" w:cs="gobCL"/>
          <w:b/>
        </w:rPr>
        <w:t>20</w:t>
      </w:r>
      <w:r w:rsidRPr="00B2442B">
        <w:rPr>
          <w:rFonts w:ascii="gobCL" w:eastAsia="gobCL" w:hAnsi="gobCL" w:cs="gobCL"/>
          <w:b/>
          <w:color w:val="000000"/>
        </w:rPr>
        <w:t>.</w:t>
      </w:r>
      <w:r w:rsidRPr="00B2442B">
        <w:rPr>
          <w:rFonts w:ascii="gobCL" w:eastAsia="gobCL" w:hAnsi="gobCL" w:cs="gobCL"/>
          <w:color w:val="000000"/>
        </w:rPr>
        <w:t xml:space="preserve"> Este documento es obligatorio para todas las empresas postulantes. </w:t>
      </w:r>
    </w:p>
    <w:p w14:paraId="3BD8578F" w14:textId="77777777" w:rsidR="002862B1" w:rsidRDefault="002862B1">
      <w:pPr>
        <w:pBdr>
          <w:top w:val="nil"/>
          <w:left w:val="nil"/>
          <w:bottom w:val="nil"/>
          <w:right w:val="nil"/>
          <w:between w:val="nil"/>
        </w:pBdr>
        <w:spacing w:after="0" w:line="240" w:lineRule="auto"/>
        <w:jc w:val="both"/>
        <w:rPr>
          <w:rFonts w:ascii="gobCL" w:eastAsia="gobCL" w:hAnsi="gobCL" w:cs="gobCL"/>
          <w:color w:val="000000"/>
        </w:rPr>
      </w:pPr>
    </w:p>
    <w:p w14:paraId="75A3ECA3" w14:textId="77777777" w:rsidR="002862B1" w:rsidRDefault="007C48F8">
      <w:pPr>
        <w:pBdr>
          <w:top w:val="nil"/>
          <w:left w:val="nil"/>
          <w:bottom w:val="nil"/>
          <w:right w:val="nil"/>
          <w:between w:val="nil"/>
        </w:pBdr>
        <w:spacing w:after="0" w:line="240" w:lineRule="auto"/>
        <w:ind w:left="720"/>
        <w:jc w:val="both"/>
        <w:rPr>
          <w:rFonts w:ascii="gobCL" w:eastAsia="gobCL" w:hAnsi="gobCL" w:cs="gobCL"/>
          <w:color w:val="000000"/>
        </w:rPr>
      </w:pPr>
      <w:r>
        <w:rPr>
          <w:rFonts w:ascii="gobCL" w:eastAsia="gobCL" w:hAnsi="gobCL" w:cs="gobCL"/>
          <w:color w:val="000000"/>
        </w:rPr>
        <w:t xml:space="preserve">Cabe mencionar que se aceptará una carpeta tributaria distinta a la para solicitar créditos, sólo en el caso en que sea posible obtener las ventas del período descrito anteriormente. </w:t>
      </w:r>
    </w:p>
    <w:p w14:paraId="2CBA3016" w14:textId="77777777" w:rsidR="002862B1" w:rsidRDefault="002862B1">
      <w:pPr>
        <w:pBdr>
          <w:top w:val="nil"/>
          <w:left w:val="nil"/>
          <w:bottom w:val="nil"/>
          <w:right w:val="nil"/>
          <w:between w:val="nil"/>
        </w:pBdr>
        <w:spacing w:after="0" w:line="240" w:lineRule="auto"/>
        <w:jc w:val="both"/>
        <w:rPr>
          <w:rFonts w:ascii="gobCL" w:eastAsia="gobCL" w:hAnsi="gobCL" w:cs="gobCL"/>
          <w:color w:val="000000"/>
          <w:highlight w:val="yellow"/>
        </w:rPr>
      </w:pPr>
    </w:p>
    <w:p w14:paraId="7DD39408" w14:textId="77777777" w:rsidR="002862B1" w:rsidRDefault="007C48F8">
      <w:pPr>
        <w:pBdr>
          <w:top w:val="nil"/>
          <w:left w:val="nil"/>
          <w:bottom w:val="nil"/>
          <w:right w:val="nil"/>
          <w:between w:val="nil"/>
        </w:pBdr>
        <w:spacing w:after="240" w:line="240" w:lineRule="auto"/>
        <w:ind w:left="720"/>
        <w:jc w:val="both"/>
        <w:rPr>
          <w:rFonts w:ascii="gobCL" w:eastAsia="gobCL" w:hAnsi="gobCL" w:cs="gobCL"/>
          <w:color w:val="000000"/>
        </w:rPr>
      </w:pPr>
      <w:r>
        <w:rPr>
          <w:rFonts w:ascii="gobCL" w:eastAsia="gobCL" w:hAnsi="gobCL" w:cs="gobCL"/>
          <w:color w:val="000000"/>
        </w:rPr>
        <w:t xml:space="preserve">Además, todos los formularios 29 del período deben estar declarados, condición que, en el caso no cumplirse, hará que la postulación sea inadmisible. </w:t>
      </w:r>
    </w:p>
    <w:p w14:paraId="38E2E128" w14:textId="77777777" w:rsidR="002862B1" w:rsidRPr="00B2442B" w:rsidRDefault="007C48F8">
      <w:pPr>
        <w:spacing w:before="240" w:after="240" w:line="240" w:lineRule="auto"/>
        <w:jc w:val="both"/>
        <w:rPr>
          <w:rFonts w:ascii="gobCL" w:eastAsia="gobCL" w:hAnsi="gobCL" w:cs="gobCL"/>
        </w:rPr>
      </w:pPr>
      <w:r>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w:t>
      </w:r>
      <w:r w:rsidRPr="00B2442B">
        <w:rPr>
          <w:rFonts w:ascii="gobCL" w:eastAsia="gobCL" w:hAnsi="gobCL" w:cs="gobCL"/>
        </w:rPr>
        <w:t>exigidos para su admisibilidad o formalización.</w:t>
      </w:r>
    </w:p>
    <w:p w14:paraId="72E484E2" w14:textId="77777777" w:rsidR="002862B1" w:rsidRPr="00B2442B" w:rsidRDefault="007C48F8">
      <w:pPr>
        <w:spacing w:before="240" w:after="240" w:line="240" w:lineRule="auto"/>
        <w:ind w:hanging="15"/>
        <w:jc w:val="both"/>
        <w:rPr>
          <w:rFonts w:ascii="gobCL" w:eastAsia="gobCL" w:hAnsi="gobCL" w:cs="gobCL"/>
          <w:b/>
        </w:rPr>
      </w:pPr>
      <w:r w:rsidRPr="00B2442B">
        <w:rPr>
          <w:rFonts w:ascii="gobCL" w:eastAsia="gobCL" w:hAnsi="gobCL" w:cs="gobCL"/>
          <w:b/>
        </w:rPr>
        <w:t>En caso de que por un error no se suba completa la carpeta tributaria, pero quede constancia de que se adjuntó, podrá con posterioridad acompañarse vía e mail o en papel según lo requiera un funcionario de Sercotec o del Agente Operador designado para estos efectos.</w:t>
      </w:r>
    </w:p>
    <w:p w14:paraId="3A68DA6C" w14:textId="2403F91F" w:rsidR="002F0142" w:rsidRPr="00047716" w:rsidRDefault="002F0142" w:rsidP="00047716">
      <w:pPr>
        <w:pStyle w:val="Prrafodelista"/>
        <w:numPr>
          <w:ilvl w:val="0"/>
          <w:numId w:val="4"/>
        </w:numPr>
        <w:spacing w:before="240" w:after="240" w:line="240" w:lineRule="auto"/>
        <w:jc w:val="both"/>
        <w:rPr>
          <w:rFonts w:ascii="gobCL" w:eastAsia="gobCL" w:hAnsi="gobCL" w:cs="gobCL"/>
        </w:rPr>
      </w:pPr>
      <w:r w:rsidRPr="00047716">
        <w:rPr>
          <w:rFonts w:ascii="gobCL" w:eastAsia="gobCL" w:hAnsi="gobCL" w:cs="gobCL"/>
        </w:rPr>
        <w:t>Comprobante de pago de cotizaciones previsionales de la mutual a la que esté adscrita la empresa (CchC, ACHS, ISL O IST)</w:t>
      </w:r>
      <w:r w:rsidRPr="002F0142">
        <w:rPr>
          <w:vertAlign w:val="superscript"/>
        </w:rPr>
        <w:footnoteReference w:id="8"/>
      </w:r>
      <w:r w:rsidRPr="00047716">
        <w:rPr>
          <w:rFonts w:ascii="gobCL" w:eastAsia="gobCL" w:hAnsi="gobCL" w:cs="gobCL"/>
        </w:rPr>
        <w:t>, que acredite el número de trabajadores formales con que cuenta, del mes de marzo de 2020, disponible en  https://www.previred.com/web/previred/. Este documento es obligatorio sólo para las empresas que cuentan con trabajadores formales.</w:t>
      </w:r>
    </w:p>
    <w:p w14:paraId="67FC14C9" w14:textId="77777777" w:rsidR="0017165A" w:rsidRDefault="0017165A">
      <w:pPr>
        <w:spacing w:before="240" w:after="240" w:line="240" w:lineRule="auto"/>
        <w:jc w:val="both"/>
        <w:rPr>
          <w:rFonts w:ascii="gobCL" w:eastAsia="gobCL" w:hAnsi="gobCL" w:cs="gobCL"/>
          <w:b/>
        </w:rPr>
      </w:pPr>
    </w:p>
    <w:p w14:paraId="55F2F7AB" w14:textId="1C6EF6BB" w:rsidR="002862B1" w:rsidRDefault="007C48F8">
      <w:pPr>
        <w:spacing w:before="240" w:after="240" w:line="240" w:lineRule="auto"/>
        <w:jc w:val="both"/>
        <w:rPr>
          <w:rFonts w:ascii="gobCL" w:eastAsia="gobCL" w:hAnsi="gobCL" w:cs="gobCL"/>
          <w:b/>
        </w:rPr>
      </w:pPr>
      <w:r>
        <w:rPr>
          <w:rFonts w:ascii="gobCL" w:eastAsia="gobCL" w:hAnsi="gobCL" w:cs="gobCL"/>
          <w:b/>
        </w:rPr>
        <w:lastRenderedPageBreak/>
        <w:t>3.3. Apoyo en el proceso de postulación.</w:t>
      </w:r>
    </w:p>
    <w:p w14:paraId="65143196" w14:textId="4245D6FF" w:rsidR="002862B1" w:rsidRDefault="007C48F8">
      <w:pPr>
        <w:spacing w:before="240" w:after="240" w:line="240" w:lineRule="auto"/>
        <w:jc w:val="both"/>
        <w:rPr>
          <w:rFonts w:ascii="gobCL" w:eastAsia="gobCL" w:hAnsi="gobCL" w:cs="gobCL"/>
        </w:rPr>
      </w:pPr>
      <w:r>
        <w:rPr>
          <w:rFonts w:ascii="gobCL" w:eastAsia="gobCL" w:hAnsi="gobCL" w:cs="gobCL"/>
        </w:rPr>
        <w:t xml:space="preserve">Para que las personas interesadas realicen consultas, Sercotec dispondrá un AOS. Para esta convocatoria, el Agente asignado es: </w:t>
      </w:r>
      <w:r w:rsidR="00B10304">
        <w:rPr>
          <w:rFonts w:ascii="gobCL" w:eastAsia="gobCL" w:hAnsi="gobCL" w:cs="gobCL"/>
        </w:rPr>
        <w:t>Consultores de la Patagonia SpA</w:t>
      </w:r>
      <w:r w:rsidRPr="00B2442B">
        <w:rPr>
          <w:rFonts w:ascii="gobCL" w:eastAsia="gobCL" w:hAnsi="gobCL" w:cs="gobCL"/>
        </w:rPr>
        <w:t>,</w:t>
      </w:r>
      <w:r>
        <w:rPr>
          <w:rFonts w:ascii="gobCL" w:eastAsia="gobCL" w:hAnsi="gobCL" w:cs="gobCL"/>
        </w:rPr>
        <w:t xml:space="preserve"> </w:t>
      </w:r>
      <w:r w:rsidRPr="00877F08">
        <w:rPr>
          <w:rFonts w:ascii="gobCL" w:eastAsia="gobCL" w:hAnsi="gobCL" w:cs="gobCL"/>
        </w:rPr>
        <w:t>teléfono +</w:t>
      </w:r>
      <w:r w:rsidRPr="00C97970">
        <w:rPr>
          <w:rFonts w:ascii="gobCL" w:eastAsia="gobCL" w:hAnsi="gobCL" w:cs="gobCL"/>
        </w:rPr>
        <w:t xml:space="preserve">56 </w:t>
      </w:r>
      <w:r w:rsidR="00877F08" w:rsidRPr="00C97970">
        <w:rPr>
          <w:rFonts w:ascii="gobCL" w:eastAsia="gobCL" w:hAnsi="gobCL" w:cs="gobCL"/>
        </w:rPr>
        <w:t>67-221178</w:t>
      </w:r>
      <w:r w:rsidRPr="00877F08">
        <w:rPr>
          <w:rFonts w:ascii="gobCL" w:eastAsia="gobCL" w:hAnsi="gobCL" w:cs="gobCL"/>
        </w:rPr>
        <w:t xml:space="preserve">, correo electrónico </w:t>
      </w:r>
      <w:r w:rsidR="0060429C" w:rsidRPr="00C97970">
        <w:rPr>
          <w:rFonts w:ascii="gobCL" w:eastAsia="gobCL" w:hAnsi="gobCL" w:cs="gobCL"/>
        </w:rPr>
        <w:t>contacto@consultoresdelapatagonia.cl</w:t>
      </w:r>
      <w:r w:rsidRPr="00C97970">
        <w:rPr>
          <w:rFonts w:ascii="gobCL" w:eastAsia="gobCL" w:hAnsi="gobCL" w:cs="gobCL"/>
        </w:rPr>
        <w:t>.</w:t>
      </w:r>
      <w:r w:rsidRPr="00877F08">
        <w:rPr>
          <w:rFonts w:ascii="gobCL" w:eastAsia="gobCL" w:hAnsi="gobCL" w:cs="gobCL"/>
        </w:rPr>
        <w:t xml:space="preserve"> Además,</w:t>
      </w:r>
      <w:r>
        <w:rPr>
          <w:rFonts w:ascii="gobCL" w:eastAsia="gobCL" w:hAnsi="gobCL" w:cs="gobCL"/>
        </w:rPr>
        <w:t xml:space="preserve"> puede pedir orientación a los Puntos Mipe, por teléfono, o bien, o ingresando a </w:t>
      </w:r>
      <w:hyperlink r:id="rId13">
        <w:r>
          <w:rPr>
            <w:rFonts w:ascii="gobCL" w:eastAsia="gobCL" w:hAnsi="gobCL" w:cs="gobCL"/>
            <w:color w:val="0000FF"/>
            <w:u w:val="single"/>
          </w:rPr>
          <w:t>www.sercotec.cl</w:t>
        </w:r>
      </w:hyperlink>
      <w:r>
        <w:rPr>
          <w:rFonts w:ascii="gobCL" w:eastAsia="gobCL" w:hAnsi="gobCL" w:cs="gobCL"/>
        </w:rPr>
        <w:t>.</w:t>
      </w:r>
    </w:p>
    <w:p w14:paraId="52BF38DC" w14:textId="77777777" w:rsidR="002862B1" w:rsidRDefault="007C48F8">
      <w:pPr>
        <w:spacing w:before="240" w:after="240" w:line="240" w:lineRule="auto"/>
        <w:jc w:val="both"/>
        <w:rPr>
          <w:rFonts w:ascii="gobCL" w:eastAsia="gobCL" w:hAnsi="gobCL" w:cs="gobCL"/>
          <w:b/>
        </w:rPr>
      </w:pPr>
      <w:r>
        <w:rPr>
          <w:rFonts w:ascii="gobCL" w:eastAsia="gobCL" w:hAnsi="gobCL" w:cs="gobCL"/>
          <w:b/>
        </w:rPr>
        <w:t>4. Evaluación y Selección</w:t>
      </w:r>
    </w:p>
    <w:p w14:paraId="04680CA1" w14:textId="3F08BAAB" w:rsidR="00C9143B" w:rsidRPr="00C9143B" w:rsidRDefault="00C9143B" w:rsidP="00C9143B">
      <w:pPr>
        <w:spacing w:before="240" w:after="240" w:line="240" w:lineRule="auto"/>
        <w:jc w:val="both"/>
        <w:rPr>
          <w:rFonts w:ascii="gobCL" w:eastAsia="gobCL" w:hAnsi="gobCL" w:cs="gobCL"/>
        </w:rPr>
      </w:pPr>
      <w:r w:rsidRPr="00C9143B">
        <w:rPr>
          <w:rFonts w:ascii="gobCL" w:eastAsia="gobCL" w:hAnsi="gobCL" w:cs="gobCL"/>
        </w:rPr>
        <w:t>Las postulaciones admisibles serán evaluadas en relación al porcentaje de disminución de ventas y al número de trabajadores formales con que cuenta la empresa a marzo de 2020. Así, qu</w:t>
      </w:r>
      <w:r w:rsidR="00E5782D">
        <w:rPr>
          <w:rFonts w:ascii="gobCL" w:eastAsia="gobCL" w:hAnsi="gobCL" w:cs="gobCL"/>
        </w:rPr>
        <w:t xml:space="preserve">ienes obtengan </w:t>
      </w:r>
      <w:r w:rsidRPr="00C9143B">
        <w:rPr>
          <w:rFonts w:ascii="gobCL" w:eastAsia="gobCL" w:hAnsi="gobCL" w:cs="gobCL"/>
        </w:rPr>
        <w:t>mayor puntaje</w:t>
      </w:r>
      <w:r w:rsidR="00871031">
        <w:rPr>
          <w:rFonts w:ascii="gobCL" w:eastAsia="gobCL" w:hAnsi="gobCL" w:cs="gobCL"/>
        </w:rPr>
        <w:t>,</w:t>
      </w:r>
      <w:r w:rsidRPr="00C9143B">
        <w:rPr>
          <w:rFonts w:ascii="gobCL" w:eastAsia="gobCL" w:hAnsi="gobCL" w:cs="gobCL"/>
        </w:rPr>
        <w:t xml:space="preserve"> serán aquellas empresas que hayan disminuido en mayor medida sus ventas y tengan un mayor número de trabajadores formales. </w:t>
      </w:r>
    </w:p>
    <w:p w14:paraId="334A5B48" w14:textId="77777777" w:rsidR="002862B1" w:rsidRDefault="007C48F8">
      <w:pPr>
        <w:spacing w:before="240" w:after="240" w:line="240" w:lineRule="auto"/>
        <w:jc w:val="both"/>
        <w:rPr>
          <w:rFonts w:ascii="gobCL" w:eastAsia="gobCL" w:hAnsi="gobCL" w:cs="gobCL"/>
          <w:b/>
        </w:rPr>
      </w:pPr>
      <w:r>
        <w:rPr>
          <w:rFonts w:ascii="gobCL" w:eastAsia="gobCL" w:hAnsi="gobCL" w:cs="gobCL"/>
          <w:b/>
        </w:rPr>
        <w:t>4.1. Evaluación de admisibilidad automática y manual</w:t>
      </w:r>
    </w:p>
    <w:p w14:paraId="469CA9EE" w14:textId="77777777" w:rsidR="002862B1" w:rsidRDefault="007C48F8">
      <w:pPr>
        <w:spacing w:before="240" w:after="240" w:line="240" w:lineRule="auto"/>
        <w:jc w:val="both"/>
        <w:rPr>
          <w:rFonts w:ascii="gobCL" w:eastAsia="gobCL" w:hAnsi="gobCL" w:cs="gobCL"/>
        </w:rPr>
      </w:pPr>
      <w:r>
        <w:rPr>
          <w:rFonts w:ascii="gobCL" w:eastAsia="gobCL" w:hAnsi="gobCL" w:cs="gobCL"/>
        </w:rPr>
        <w:t>Iniciada la postulación, la revisión del cumplimiento de los requisitos de admisibilidad establecidos en el punto 2.1.1 Requisitos de admisibilidad, será realizada automática y manualmente a través de la plataforma de postulación, lo que determinará quienes podrán enviar el formulario de postulación.</w:t>
      </w:r>
    </w:p>
    <w:p w14:paraId="032FE1F6"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Finalizado el plazo para la postulación, existirá un período de 5 (cinco) días hábiles administrativos, en el cual los postulantes podrán apelar, en caso de no haber podido enviar el formulario de postulación, debido al no cumplimiento de alguno de los requisitos de admisibilidad establecidos. Para lo anterior, deberá presentar al AOS correspondiente, los antecedentes necesarios que acrediten dicho cumplimiento, los cuales serán revisados y, en los casos que corresponda, se procederá a cambiar su estado a admisible, y su postulación se entenderá enviada, siempre y cuando el formulario de postulación cuente con todas las preguntas respondidas. </w:t>
      </w:r>
    </w:p>
    <w:p w14:paraId="5EFC4D51" w14:textId="1FE35C4F" w:rsidR="002862B1" w:rsidRDefault="007C48F8">
      <w:pPr>
        <w:spacing w:before="240" w:after="240" w:line="240" w:lineRule="auto"/>
        <w:jc w:val="both"/>
        <w:rPr>
          <w:rFonts w:ascii="gobCL" w:eastAsia="gobCL" w:hAnsi="gobCL" w:cs="gobCL"/>
          <w:b/>
        </w:rPr>
      </w:pPr>
      <w:r>
        <w:rPr>
          <w:rFonts w:ascii="gobCL" w:eastAsia="gobCL" w:hAnsi="gobCL" w:cs="gobCL"/>
          <w:b/>
        </w:rPr>
        <w:t>4.2. Cálculo de puntaje.</w:t>
      </w:r>
    </w:p>
    <w:p w14:paraId="69C71ACB" w14:textId="77777777" w:rsidR="002F0142" w:rsidRPr="002F0142" w:rsidRDefault="002F0142" w:rsidP="002F0142">
      <w:pPr>
        <w:spacing w:before="240" w:after="240" w:line="240" w:lineRule="auto"/>
        <w:jc w:val="both"/>
        <w:rPr>
          <w:rFonts w:ascii="gobCL" w:eastAsia="gobCL" w:hAnsi="gobCL" w:cs="gobCL"/>
        </w:rPr>
      </w:pPr>
      <w:r w:rsidRPr="002F0142">
        <w:rPr>
          <w:rFonts w:ascii="gobCL" w:eastAsia="gobCL" w:hAnsi="gobCL" w:cs="gobCL"/>
        </w:rPr>
        <w:t>Una vez recibidas las postulaciones, el AOS calculará las ventas de la empresa a partir de la información contenida en las carpetas tributarias, con el fin de identificar el porcentaje de variación de las ventas, comparando las ventas promedio:</w:t>
      </w:r>
    </w:p>
    <w:p w14:paraId="165BBBB6" w14:textId="7B1B21A4" w:rsidR="002F0142" w:rsidRPr="002F0142" w:rsidRDefault="002F0142" w:rsidP="002F0142">
      <w:pPr>
        <w:spacing w:before="240" w:after="240" w:line="240" w:lineRule="auto"/>
        <w:jc w:val="both"/>
        <w:rPr>
          <w:rFonts w:ascii="gobCL" w:eastAsia="gobCL" w:hAnsi="gobCL" w:cs="gobCL"/>
        </w:rPr>
      </w:pPr>
      <w:r w:rsidRPr="002F0142">
        <w:rPr>
          <w:rFonts w:ascii="gobCL" w:eastAsia="gobCL" w:hAnsi="gobCL" w:cs="gobCL"/>
        </w:rPr>
        <w:t>Ventas promedio del período 1 (</w:t>
      </w:r>
      <w:r w:rsidR="00F345A0">
        <w:rPr>
          <w:rFonts w:ascii="gobCL" w:eastAsia="gobCL" w:hAnsi="gobCL" w:cs="gobCL"/>
        </w:rPr>
        <w:t>o</w:t>
      </w:r>
      <w:r w:rsidR="00F33242">
        <w:rPr>
          <w:rFonts w:ascii="gobCL" w:eastAsia="gobCL" w:hAnsi="gobCL" w:cs="gobCL"/>
        </w:rPr>
        <w:t>ctubre</w:t>
      </w:r>
      <w:r w:rsidR="00752446" w:rsidRPr="002F0142">
        <w:rPr>
          <w:rFonts w:ascii="gobCL" w:eastAsia="gobCL" w:hAnsi="gobCL" w:cs="gobCL"/>
        </w:rPr>
        <w:t xml:space="preserve"> </w:t>
      </w:r>
      <w:r w:rsidRPr="002F0142">
        <w:rPr>
          <w:rFonts w:ascii="gobCL" w:eastAsia="gobCL" w:hAnsi="gobCL" w:cs="gobCL"/>
        </w:rPr>
        <w:t xml:space="preserve">2018 – </w:t>
      </w:r>
      <w:r w:rsidR="00F345A0">
        <w:rPr>
          <w:rFonts w:ascii="gobCL" w:eastAsia="gobCL" w:hAnsi="gobCL" w:cs="gobCL"/>
        </w:rPr>
        <w:t>m</w:t>
      </w:r>
      <w:r w:rsidR="00F33242">
        <w:rPr>
          <w:rFonts w:ascii="gobCL" w:eastAsia="gobCL" w:hAnsi="gobCL" w:cs="gobCL"/>
        </w:rPr>
        <w:t>arzo</w:t>
      </w:r>
      <w:r w:rsidRPr="002F0142">
        <w:rPr>
          <w:rFonts w:ascii="gobCL" w:eastAsia="gobCL" w:hAnsi="gobCL" w:cs="gobCL"/>
        </w:rPr>
        <w:t xml:space="preserve"> 2019) con las ventas promedio del período 2 (</w:t>
      </w:r>
      <w:r w:rsidR="00F345A0">
        <w:rPr>
          <w:rFonts w:ascii="gobCL" w:eastAsia="gobCL" w:hAnsi="gobCL" w:cs="gobCL"/>
        </w:rPr>
        <w:t>o</w:t>
      </w:r>
      <w:r w:rsidR="00F33242">
        <w:rPr>
          <w:rFonts w:ascii="gobCL" w:eastAsia="gobCL" w:hAnsi="gobCL" w:cs="gobCL"/>
        </w:rPr>
        <w:t>ctubre</w:t>
      </w:r>
      <w:r w:rsidR="00752446" w:rsidRPr="002F0142">
        <w:rPr>
          <w:rFonts w:ascii="gobCL" w:eastAsia="gobCL" w:hAnsi="gobCL" w:cs="gobCL"/>
        </w:rPr>
        <w:t xml:space="preserve"> </w:t>
      </w:r>
      <w:r w:rsidRPr="002F0142">
        <w:rPr>
          <w:rFonts w:ascii="gobCL" w:eastAsia="gobCL" w:hAnsi="gobCL" w:cs="gobCL"/>
        </w:rPr>
        <w:t xml:space="preserve">2019 – </w:t>
      </w:r>
      <w:r w:rsidR="00F345A0">
        <w:rPr>
          <w:rFonts w:ascii="gobCL" w:eastAsia="gobCL" w:hAnsi="gobCL" w:cs="gobCL"/>
        </w:rPr>
        <w:t>m</w:t>
      </w:r>
      <w:r w:rsidR="00F33242">
        <w:rPr>
          <w:rFonts w:ascii="gobCL" w:eastAsia="gobCL" w:hAnsi="gobCL" w:cs="gobCL"/>
        </w:rPr>
        <w:t xml:space="preserve">arzo </w:t>
      </w:r>
      <w:r w:rsidRPr="002F0142">
        <w:rPr>
          <w:rFonts w:ascii="gobCL" w:eastAsia="gobCL" w:hAnsi="gobCL" w:cs="gobCL"/>
        </w:rPr>
        <w:t>2020).</w:t>
      </w:r>
    </w:p>
    <w:p w14:paraId="2192B4CD" w14:textId="77777777" w:rsidR="00FF3BF9" w:rsidRDefault="00FF3BF9" w:rsidP="00FF3BF9">
      <w:pPr>
        <w:spacing w:before="240" w:after="240" w:line="240" w:lineRule="auto"/>
        <w:jc w:val="both"/>
        <w:rPr>
          <w:rFonts w:ascii="gobCL" w:eastAsia="gobCL" w:hAnsi="gobCL" w:cs="gobCL"/>
        </w:rPr>
      </w:pPr>
      <w:r w:rsidRPr="002F0142">
        <w:rPr>
          <w:rFonts w:ascii="gobCL" w:eastAsia="gobCL" w:hAnsi="gobCL" w:cs="gobCL"/>
        </w:rPr>
        <w:t xml:space="preserve">Para empresas con inicio de actividades a partir de </w:t>
      </w:r>
      <w:r>
        <w:rPr>
          <w:rFonts w:ascii="gobCL" w:eastAsia="gobCL" w:hAnsi="gobCL" w:cs="gobCL"/>
        </w:rPr>
        <w:t>noviembre</w:t>
      </w:r>
      <w:r w:rsidRPr="002F0142">
        <w:rPr>
          <w:rFonts w:ascii="gobCL" w:eastAsia="gobCL" w:hAnsi="gobCL" w:cs="gobCL"/>
        </w:rPr>
        <w:t xml:space="preserve"> de 201</w:t>
      </w:r>
      <w:r>
        <w:rPr>
          <w:rFonts w:ascii="gobCL" w:eastAsia="gobCL" w:hAnsi="gobCL" w:cs="gobCL"/>
        </w:rPr>
        <w:t>8</w:t>
      </w:r>
      <w:r w:rsidRPr="002F0142">
        <w:rPr>
          <w:rFonts w:ascii="gobCL" w:eastAsia="gobCL" w:hAnsi="gobCL" w:cs="gobCL"/>
        </w:rPr>
        <w:t>, el porcentaje de disminución de ventas se calculará comparando las ventas promedio del período 1 (octubre 2019 – diciembre 2019), con las ventas del período 2 (enero 2020 - marzo de 2020).</w:t>
      </w:r>
    </w:p>
    <w:p w14:paraId="4AF9CEAC" w14:textId="77777777" w:rsidR="003A0EDB" w:rsidRPr="000E367C" w:rsidRDefault="003A0EDB" w:rsidP="003A0EDB">
      <w:pPr>
        <w:spacing w:before="240" w:after="240" w:line="240" w:lineRule="auto"/>
        <w:jc w:val="both"/>
        <w:rPr>
          <w:rFonts w:ascii="gobCL" w:eastAsia="gobCL" w:hAnsi="gobCL" w:cs="gobCL"/>
        </w:rPr>
      </w:pPr>
      <w:r w:rsidRPr="000E367C">
        <w:rPr>
          <w:rFonts w:ascii="gobCL" w:eastAsia="gobCL" w:hAnsi="gobCL" w:cs="gobCL"/>
        </w:rPr>
        <w:t>La fórmula para calcular el puntaje de cada empresa postulante contempla el porcentaje de disminución de ventas y el número de trabajadores formales</w:t>
      </w:r>
      <w:r w:rsidRPr="000E367C">
        <w:rPr>
          <w:rStyle w:val="Refdenotaalpie"/>
          <w:rFonts w:ascii="gobCL" w:eastAsia="gobCL" w:hAnsi="gobCL" w:cs="gobCL"/>
        </w:rPr>
        <w:footnoteReference w:id="9"/>
      </w:r>
      <w:r w:rsidRPr="000E367C">
        <w:rPr>
          <w:rFonts w:ascii="gobCL" w:eastAsia="gobCL" w:hAnsi="gobCL" w:cs="gobCL"/>
        </w:rPr>
        <w:t xml:space="preserve">. Se establecerá el mes </w:t>
      </w:r>
      <w:r w:rsidRPr="009C5BB9">
        <w:rPr>
          <w:rFonts w:ascii="gobCL" w:eastAsia="gobCL" w:hAnsi="gobCL" w:cs="gobCL"/>
        </w:rPr>
        <w:t xml:space="preserve">de </w:t>
      </w:r>
      <w:r w:rsidRPr="009C5BB9">
        <w:rPr>
          <w:rFonts w:ascii="gobCL" w:eastAsia="gobCL" w:hAnsi="gobCL" w:cs="gobCL"/>
        </w:rPr>
        <w:lastRenderedPageBreak/>
        <w:t>marzo de 2020 para medir la cantidad de trabajadores con contrato que dispone la empresa. De a</w:t>
      </w:r>
      <w:r w:rsidRPr="000E367C">
        <w:rPr>
          <w:rFonts w:ascii="gobCL" w:eastAsia="gobCL" w:hAnsi="gobCL" w:cs="gobCL"/>
        </w:rPr>
        <w:t>cuerdo a la siguiente tabla, se asignará un puntaje:</w:t>
      </w:r>
    </w:p>
    <w:tbl>
      <w:tblPr>
        <w:tblW w:w="7000" w:type="dxa"/>
        <w:jc w:val="center"/>
        <w:tblCellMar>
          <w:left w:w="70" w:type="dxa"/>
          <w:right w:w="70" w:type="dxa"/>
        </w:tblCellMar>
        <w:tblLook w:val="04A0" w:firstRow="1" w:lastRow="0" w:firstColumn="1" w:lastColumn="0" w:noHBand="0" w:noVBand="1"/>
      </w:tblPr>
      <w:tblGrid>
        <w:gridCol w:w="5800"/>
        <w:gridCol w:w="1200"/>
      </w:tblGrid>
      <w:tr w:rsidR="003A0EDB" w:rsidRPr="000E367C" w14:paraId="08DAED16" w14:textId="77777777" w:rsidTr="00344B7D">
        <w:trPr>
          <w:trHeight w:val="402"/>
          <w:jc w:val="center"/>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A8C46" w14:textId="77777777" w:rsidR="003A0EDB" w:rsidRPr="000E367C" w:rsidRDefault="003A0EDB" w:rsidP="00344B7D">
            <w:pPr>
              <w:spacing w:after="0" w:line="240" w:lineRule="auto"/>
              <w:jc w:val="center"/>
              <w:rPr>
                <w:rFonts w:ascii="gobCL" w:eastAsia="Times New Roman" w:hAnsi="gobCL" w:cs="Times New Roman"/>
                <w:b/>
                <w:bCs/>
                <w:color w:val="000000"/>
                <w:sz w:val="20"/>
                <w:szCs w:val="20"/>
              </w:rPr>
            </w:pPr>
            <w:r w:rsidRPr="000E367C">
              <w:rPr>
                <w:rFonts w:eastAsia="gobCL"/>
              </w:rPr>
              <w:t> </w:t>
            </w:r>
            <w:r w:rsidRPr="000E367C">
              <w:rPr>
                <w:rFonts w:ascii="gobCL" w:eastAsia="gobCL" w:hAnsi="gobCL" w:cs="gobCL"/>
              </w:rPr>
              <w:t xml:space="preserve">  </w:t>
            </w:r>
            <w:r w:rsidRPr="000E367C">
              <w:rPr>
                <w:rFonts w:ascii="gobCL" w:eastAsia="gobCL" w:hAnsi="gobCL" w:cs="gobCL"/>
                <w:b/>
                <w:bCs/>
                <w:color w:val="000000"/>
                <w:sz w:val="20"/>
                <w:szCs w:val="20"/>
              </w:rPr>
              <w:t>CONDICIÓN</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346459EF" w14:textId="77777777" w:rsidR="003A0EDB" w:rsidRPr="000E367C" w:rsidRDefault="003A0EDB" w:rsidP="00344B7D">
            <w:pPr>
              <w:spacing w:after="0" w:line="240" w:lineRule="auto"/>
              <w:jc w:val="center"/>
              <w:rPr>
                <w:rFonts w:ascii="gobCL" w:eastAsia="Times New Roman" w:hAnsi="gobCL" w:cs="Times New Roman"/>
                <w:b/>
                <w:bCs/>
                <w:color w:val="000000"/>
                <w:sz w:val="20"/>
                <w:szCs w:val="20"/>
              </w:rPr>
            </w:pPr>
            <w:r w:rsidRPr="000E367C">
              <w:rPr>
                <w:rFonts w:ascii="gobCL" w:eastAsia="gobCL" w:hAnsi="gobCL" w:cs="gobCL"/>
                <w:b/>
                <w:bCs/>
                <w:color w:val="000000"/>
                <w:sz w:val="20"/>
                <w:szCs w:val="20"/>
              </w:rPr>
              <w:t>PUNTAJE</w:t>
            </w:r>
          </w:p>
        </w:tc>
      </w:tr>
      <w:tr w:rsidR="003A0EDB" w:rsidRPr="000E367C" w14:paraId="196157A3" w14:textId="77777777" w:rsidTr="00344B7D">
        <w:trPr>
          <w:trHeight w:val="402"/>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51C60E80" w14:textId="77777777" w:rsidR="003A0EDB" w:rsidRPr="000E367C" w:rsidRDefault="003A0EDB" w:rsidP="00344B7D">
            <w:pPr>
              <w:spacing w:after="0" w:line="240" w:lineRule="auto"/>
              <w:jc w:val="both"/>
              <w:rPr>
                <w:rFonts w:ascii="gobCL" w:eastAsia="Times New Roman" w:hAnsi="gobCL" w:cs="Times New Roman"/>
                <w:color w:val="000000"/>
                <w:sz w:val="20"/>
                <w:szCs w:val="20"/>
              </w:rPr>
            </w:pPr>
            <w:r w:rsidRPr="000E367C">
              <w:rPr>
                <w:rFonts w:ascii="gobCL" w:eastAsia="gobCL" w:hAnsi="gobCL" w:cs="gobCL"/>
                <w:color w:val="000000"/>
                <w:sz w:val="20"/>
                <w:szCs w:val="20"/>
              </w:rPr>
              <w:t>Empresas que no cuentan con trabajadores</w:t>
            </w:r>
          </w:p>
        </w:tc>
        <w:tc>
          <w:tcPr>
            <w:tcW w:w="1200" w:type="dxa"/>
            <w:tcBorders>
              <w:top w:val="nil"/>
              <w:left w:val="nil"/>
              <w:bottom w:val="single" w:sz="4" w:space="0" w:color="auto"/>
              <w:right w:val="single" w:sz="4" w:space="0" w:color="auto"/>
            </w:tcBorders>
            <w:shd w:val="clear" w:color="auto" w:fill="auto"/>
            <w:vAlign w:val="center"/>
            <w:hideMark/>
          </w:tcPr>
          <w:p w14:paraId="36273678" w14:textId="7DD7E27C" w:rsidR="003A0EDB" w:rsidRPr="000E367C" w:rsidRDefault="003A0EDB" w:rsidP="00344B7D">
            <w:pPr>
              <w:spacing w:after="0" w:line="240" w:lineRule="auto"/>
              <w:jc w:val="center"/>
              <w:rPr>
                <w:rFonts w:ascii="gobCL" w:eastAsia="Times New Roman" w:hAnsi="gobCL" w:cs="Times New Roman"/>
                <w:color w:val="000000"/>
                <w:sz w:val="20"/>
                <w:szCs w:val="20"/>
              </w:rPr>
            </w:pPr>
            <w:r w:rsidRPr="000E367C">
              <w:rPr>
                <w:rFonts w:ascii="gobCL" w:eastAsia="gobCL" w:hAnsi="gobCL" w:cs="gobCL"/>
                <w:color w:val="000000"/>
                <w:sz w:val="20"/>
                <w:szCs w:val="20"/>
              </w:rPr>
              <w:t>0</w:t>
            </w:r>
            <w:r w:rsidRPr="000E367C">
              <w:rPr>
                <w:rFonts w:eastAsia="gobCL"/>
                <w:color w:val="000000"/>
                <w:sz w:val="20"/>
                <w:szCs w:val="20"/>
              </w:rPr>
              <w:t>  </w:t>
            </w:r>
            <w:r w:rsidRPr="000E367C">
              <w:rPr>
                <w:rFonts w:ascii="gobCL" w:eastAsia="gobCL" w:hAnsi="gobCL" w:cs="gobCL"/>
                <w:color w:val="000000"/>
                <w:sz w:val="20"/>
                <w:szCs w:val="20"/>
              </w:rPr>
              <w:t xml:space="preserve"> p</w:t>
            </w:r>
            <w:r w:rsidR="005A0661">
              <w:rPr>
                <w:rFonts w:ascii="gobCL" w:eastAsia="gobCL" w:hAnsi="gobCL" w:cs="gobCL"/>
                <w:color w:val="000000"/>
                <w:sz w:val="20"/>
                <w:szCs w:val="20"/>
              </w:rPr>
              <w:t>un</w:t>
            </w:r>
            <w:r w:rsidRPr="000E367C">
              <w:rPr>
                <w:rFonts w:ascii="gobCL" w:eastAsia="gobCL" w:hAnsi="gobCL" w:cs="gobCL"/>
                <w:color w:val="000000"/>
                <w:sz w:val="20"/>
                <w:szCs w:val="20"/>
              </w:rPr>
              <w:t>to</w:t>
            </w:r>
            <w:r w:rsidR="00B82260">
              <w:rPr>
                <w:rFonts w:ascii="gobCL" w:eastAsia="gobCL" w:hAnsi="gobCL" w:cs="gobCL"/>
                <w:color w:val="000000"/>
                <w:sz w:val="20"/>
                <w:szCs w:val="20"/>
              </w:rPr>
              <w:t>s</w:t>
            </w:r>
            <w:r w:rsidRPr="000E367C">
              <w:rPr>
                <w:rFonts w:ascii="gobCL" w:eastAsia="gobCL" w:hAnsi="gobCL" w:cs="gobCL"/>
                <w:color w:val="000000"/>
                <w:sz w:val="20"/>
                <w:szCs w:val="20"/>
              </w:rPr>
              <w:t>.</w:t>
            </w:r>
          </w:p>
        </w:tc>
      </w:tr>
      <w:tr w:rsidR="003A0EDB" w:rsidRPr="000E367C" w14:paraId="0827F98C" w14:textId="77777777" w:rsidTr="00344B7D">
        <w:trPr>
          <w:trHeight w:val="402"/>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466BCAFA" w14:textId="77777777" w:rsidR="003A0EDB" w:rsidRPr="000E367C" w:rsidRDefault="003A0EDB" w:rsidP="00344B7D">
            <w:pPr>
              <w:spacing w:after="0" w:line="240" w:lineRule="auto"/>
              <w:jc w:val="both"/>
              <w:rPr>
                <w:rFonts w:ascii="gobCL" w:eastAsia="Times New Roman" w:hAnsi="gobCL" w:cs="Times New Roman"/>
                <w:color w:val="000000"/>
                <w:sz w:val="20"/>
                <w:szCs w:val="20"/>
              </w:rPr>
            </w:pPr>
            <w:r w:rsidRPr="000E367C">
              <w:rPr>
                <w:rFonts w:ascii="gobCL" w:eastAsia="gobCL" w:hAnsi="gobCL" w:cs="gobCL"/>
                <w:color w:val="000000"/>
                <w:sz w:val="20"/>
                <w:szCs w:val="20"/>
              </w:rPr>
              <w:t>Empresas que cuentan con 1 o 2 trabajadores</w:t>
            </w:r>
          </w:p>
        </w:tc>
        <w:tc>
          <w:tcPr>
            <w:tcW w:w="1200" w:type="dxa"/>
            <w:tcBorders>
              <w:top w:val="nil"/>
              <w:left w:val="nil"/>
              <w:bottom w:val="single" w:sz="4" w:space="0" w:color="auto"/>
              <w:right w:val="single" w:sz="4" w:space="0" w:color="auto"/>
            </w:tcBorders>
            <w:shd w:val="clear" w:color="auto" w:fill="auto"/>
            <w:vAlign w:val="center"/>
            <w:hideMark/>
          </w:tcPr>
          <w:p w14:paraId="3056AC97" w14:textId="5E18B34B" w:rsidR="003A0EDB" w:rsidRPr="000E367C" w:rsidRDefault="003A0EDB" w:rsidP="00344B7D">
            <w:pPr>
              <w:spacing w:after="0" w:line="240" w:lineRule="auto"/>
              <w:jc w:val="center"/>
              <w:rPr>
                <w:rFonts w:ascii="gobCL" w:eastAsia="Times New Roman" w:hAnsi="gobCL" w:cs="Times New Roman"/>
                <w:color w:val="000000"/>
                <w:sz w:val="20"/>
                <w:szCs w:val="20"/>
              </w:rPr>
            </w:pPr>
            <w:r w:rsidRPr="000E367C">
              <w:rPr>
                <w:rFonts w:ascii="gobCL" w:eastAsia="gobCL" w:hAnsi="gobCL" w:cs="gobCL"/>
                <w:color w:val="000000"/>
                <w:sz w:val="20"/>
                <w:szCs w:val="20"/>
              </w:rPr>
              <w:t>1</w:t>
            </w:r>
            <w:r w:rsidRPr="000E367C">
              <w:rPr>
                <w:rFonts w:eastAsia="gobCL"/>
                <w:color w:val="000000"/>
                <w:sz w:val="20"/>
                <w:szCs w:val="20"/>
              </w:rPr>
              <w:t>  </w:t>
            </w:r>
            <w:r w:rsidRPr="000E367C">
              <w:rPr>
                <w:rFonts w:ascii="gobCL" w:eastAsia="gobCL" w:hAnsi="gobCL" w:cs="gobCL"/>
                <w:color w:val="000000"/>
                <w:sz w:val="20"/>
                <w:szCs w:val="20"/>
              </w:rPr>
              <w:t xml:space="preserve"> p</w:t>
            </w:r>
            <w:r w:rsidR="005A0661">
              <w:rPr>
                <w:rFonts w:ascii="gobCL" w:eastAsia="gobCL" w:hAnsi="gobCL" w:cs="gobCL"/>
                <w:color w:val="000000"/>
                <w:sz w:val="20"/>
                <w:szCs w:val="20"/>
              </w:rPr>
              <w:t>un</w:t>
            </w:r>
            <w:r w:rsidRPr="000E367C">
              <w:rPr>
                <w:rFonts w:ascii="gobCL" w:eastAsia="gobCL" w:hAnsi="gobCL" w:cs="gobCL"/>
                <w:color w:val="000000"/>
                <w:sz w:val="20"/>
                <w:szCs w:val="20"/>
              </w:rPr>
              <w:t>to</w:t>
            </w:r>
            <w:r w:rsidR="00B82260">
              <w:rPr>
                <w:rFonts w:ascii="gobCL" w:eastAsia="gobCL" w:hAnsi="gobCL" w:cs="gobCL"/>
                <w:color w:val="000000"/>
                <w:sz w:val="20"/>
                <w:szCs w:val="20"/>
              </w:rPr>
              <w:t>s</w:t>
            </w:r>
            <w:r w:rsidRPr="000E367C">
              <w:rPr>
                <w:rFonts w:ascii="gobCL" w:eastAsia="gobCL" w:hAnsi="gobCL" w:cs="gobCL"/>
                <w:color w:val="000000"/>
                <w:sz w:val="20"/>
                <w:szCs w:val="20"/>
              </w:rPr>
              <w:t>.</w:t>
            </w:r>
          </w:p>
        </w:tc>
      </w:tr>
      <w:tr w:rsidR="003A0EDB" w:rsidRPr="000E367C" w14:paraId="61BA04C8" w14:textId="77777777" w:rsidTr="00344B7D">
        <w:trPr>
          <w:trHeight w:val="402"/>
          <w:jc w:val="center"/>
        </w:trPr>
        <w:tc>
          <w:tcPr>
            <w:tcW w:w="5800" w:type="dxa"/>
            <w:tcBorders>
              <w:top w:val="nil"/>
              <w:left w:val="single" w:sz="4" w:space="0" w:color="auto"/>
              <w:bottom w:val="single" w:sz="4" w:space="0" w:color="auto"/>
              <w:right w:val="single" w:sz="4" w:space="0" w:color="auto"/>
            </w:tcBorders>
            <w:shd w:val="clear" w:color="auto" w:fill="auto"/>
            <w:vAlign w:val="center"/>
            <w:hideMark/>
          </w:tcPr>
          <w:p w14:paraId="009D176D" w14:textId="77777777" w:rsidR="003A0EDB" w:rsidRPr="000E367C" w:rsidRDefault="003A0EDB" w:rsidP="00344B7D">
            <w:pPr>
              <w:spacing w:after="0" w:line="240" w:lineRule="auto"/>
              <w:jc w:val="both"/>
              <w:rPr>
                <w:rFonts w:ascii="gobCL" w:eastAsia="Times New Roman" w:hAnsi="gobCL" w:cs="Times New Roman"/>
                <w:color w:val="000000"/>
                <w:sz w:val="20"/>
                <w:szCs w:val="20"/>
              </w:rPr>
            </w:pPr>
            <w:r w:rsidRPr="000E367C">
              <w:rPr>
                <w:rFonts w:ascii="gobCL" w:eastAsia="gobCL" w:hAnsi="gobCL" w:cs="gobCL"/>
                <w:color w:val="000000"/>
                <w:sz w:val="20"/>
                <w:szCs w:val="20"/>
              </w:rPr>
              <w:t>Empresas que cuentan con 3 o más trabajadores</w:t>
            </w:r>
          </w:p>
        </w:tc>
        <w:tc>
          <w:tcPr>
            <w:tcW w:w="1200" w:type="dxa"/>
            <w:tcBorders>
              <w:top w:val="nil"/>
              <w:left w:val="nil"/>
              <w:bottom w:val="single" w:sz="4" w:space="0" w:color="auto"/>
              <w:right w:val="single" w:sz="4" w:space="0" w:color="auto"/>
            </w:tcBorders>
            <w:shd w:val="clear" w:color="auto" w:fill="auto"/>
            <w:vAlign w:val="center"/>
            <w:hideMark/>
          </w:tcPr>
          <w:p w14:paraId="2598607B" w14:textId="6A2B85CB" w:rsidR="003A0EDB" w:rsidRPr="000E367C" w:rsidRDefault="003A0EDB" w:rsidP="00344B7D">
            <w:pPr>
              <w:spacing w:after="0" w:line="240" w:lineRule="auto"/>
              <w:jc w:val="center"/>
              <w:rPr>
                <w:rFonts w:ascii="gobCL" w:eastAsia="Times New Roman" w:hAnsi="gobCL" w:cs="Times New Roman"/>
                <w:color w:val="000000"/>
                <w:sz w:val="20"/>
                <w:szCs w:val="20"/>
              </w:rPr>
            </w:pPr>
            <w:r w:rsidRPr="000E367C">
              <w:rPr>
                <w:rFonts w:ascii="gobCL" w:eastAsia="gobCL" w:hAnsi="gobCL" w:cs="gobCL"/>
                <w:color w:val="000000"/>
                <w:sz w:val="20"/>
                <w:szCs w:val="20"/>
              </w:rPr>
              <w:t xml:space="preserve">2 </w:t>
            </w:r>
            <w:r w:rsidR="005A0661">
              <w:rPr>
                <w:rFonts w:ascii="gobCL" w:eastAsia="gobCL" w:hAnsi="gobCL" w:cs="gobCL"/>
                <w:color w:val="000000"/>
                <w:sz w:val="20"/>
                <w:szCs w:val="20"/>
              </w:rPr>
              <w:t xml:space="preserve"> </w:t>
            </w:r>
            <w:r w:rsidRPr="000E367C">
              <w:rPr>
                <w:rFonts w:ascii="gobCL" w:eastAsia="gobCL" w:hAnsi="gobCL" w:cs="gobCL"/>
                <w:color w:val="000000"/>
                <w:sz w:val="20"/>
                <w:szCs w:val="20"/>
              </w:rPr>
              <w:t>p</w:t>
            </w:r>
            <w:r w:rsidR="005A0661">
              <w:rPr>
                <w:rFonts w:ascii="gobCL" w:eastAsia="gobCL" w:hAnsi="gobCL" w:cs="gobCL"/>
                <w:color w:val="000000"/>
                <w:sz w:val="20"/>
                <w:szCs w:val="20"/>
              </w:rPr>
              <w:t>un</w:t>
            </w:r>
            <w:r w:rsidRPr="000E367C">
              <w:rPr>
                <w:rFonts w:ascii="gobCL" w:eastAsia="gobCL" w:hAnsi="gobCL" w:cs="gobCL"/>
                <w:color w:val="000000"/>
                <w:sz w:val="20"/>
                <w:szCs w:val="20"/>
              </w:rPr>
              <w:t>tos.</w:t>
            </w:r>
          </w:p>
        </w:tc>
      </w:tr>
    </w:tbl>
    <w:p w14:paraId="3856578B" w14:textId="77777777" w:rsidR="003A0EDB" w:rsidRPr="000E367C" w:rsidRDefault="003A0EDB" w:rsidP="003A0EDB">
      <w:pPr>
        <w:spacing w:before="240" w:after="240" w:line="240" w:lineRule="auto"/>
        <w:jc w:val="both"/>
        <w:rPr>
          <w:rFonts w:ascii="gobCL" w:eastAsia="gobCL" w:hAnsi="gobCL" w:cs="gobCL"/>
        </w:rPr>
      </w:pPr>
      <w:r w:rsidRPr="000E367C">
        <w:rPr>
          <w:rFonts w:ascii="gobCL" w:eastAsia="gobCL" w:hAnsi="gobCL" w:cs="gobCL"/>
        </w:rPr>
        <w:t>Fórmula de cálculo:</w:t>
      </w:r>
    </w:p>
    <w:p w14:paraId="63693A6C" w14:textId="77777777" w:rsidR="003A0EDB" w:rsidRPr="00A37DE7" w:rsidRDefault="003A0EDB" w:rsidP="003A0EDB">
      <w:pPr>
        <w:pBdr>
          <w:top w:val="single" w:sz="4" w:space="1" w:color="auto"/>
          <w:left w:val="single" w:sz="4" w:space="0"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sz w:val="20"/>
        </w:rPr>
      </w:pPr>
      <w:r w:rsidRPr="00A37DE7">
        <w:rPr>
          <w:rFonts w:ascii="gobCL" w:eastAsia="gobCL" w:hAnsi="gobCL" w:cs="gobCL"/>
          <w:b/>
          <w:sz w:val="20"/>
        </w:rPr>
        <w:t>(% de disminución de ventas + puntaje N° de trabajadores) = PUNTAJE TOTAL</w:t>
      </w:r>
    </w:p>
    <w:p w14:paraId="56F333A6" w14:textId="77777777" w:rsidR="003A0EDB" w:rsidRPr="00A37DE7" w:rsidRDefault="003A0EDB" w:rsidP="003A0EDB">
      <w:pPr>
        <w:spacing w:before="240" w:after="240" w:line="240" w:lineRule="auto"/>
        <w:jc w:val="both"/>
        <w:rPr>
          <w:rFonts w:ascii="gobCL" w:eastAsia="gobCL" w:hAnsi="gobCL" w:cs="gobCL"/>
          <w:b/>
          <w:sz w:val="20"/>
        </w:rPr>
      </w:pPr>
      <w:r w:rsidRPr="00A37DE7">
        <w:rPr>
          <w:rFonts w:ascii="gobCL" w:eastAsia="gobCL" w:hAnsi="gobCL" w:cs="gobCL"/>
          <w:b/>
          <w:sz w:val="20"/>
        </w:rPr>
        <w:t xml:space="preserve">Los cálculos se considerarán con dos decimales, sin aproximación. </w:t>
      </w:r>
    </w:p>
    <w:p w14:paraId="317766B2" w14:textId="77777777" w:rsidR="002862B1" w:rsidRPr="00A37DE7" w:rsidRDefault="007C48F8">
      <w:pPr>
        <w:spacing w:before="240" w:after="240" w:line="240" w:lineRule="auto"/>
        <w:jc w:val="both"/>
        <w:rPr>
          <w:rFonts w:ascii="gobCL" w:eastAsia="gobCL" w:hAnsi="gobCL" w:cs="gobCL"/>
          <w:b/>
          <w:sz w:val="20"/>
        </w:rPr>
      </w:pPr>
      <w:r w:rsidRPr="00A37DE7">
        <w:rPr>
          <w:rFonts w:ascii="gobCL" w:eastAsia="gobCL" w:hAnsi="gobCL" w:cs="gobCL"/>
          <w:b/>
          <w:sz w:val="20"/>
        </w:rPr>
        <w:t>4.3. Selección de beneficiarios/as</w:t>
      </w:r>
    </w:p>
    <w:p w14:paraId="4CAB8E49" w14:textId="77777777" w:rsidR="002862B1" w:rsidRDefault="007C48F8">
      <w:pPr>
        <w:spacing w:before="240" w:after="240" w:line="240" w:lineRule="auto"/>
        <w:jc w:val="both"/>
        <w:rPr>
          <w:rFonts w:ascii="gobCL" w:eastAsia="gobCL" w:hAnsi="gobCL" w:cs="gobCL"/>
          <w:b/>
        </w:rPr>
      </w:pPr>
      <w:r w:rsidRPr="00A37DE7">
        <w:rPr>
          <w:rFonts w:ascii="gobCL" w:eastAsia="gobCL" w:hAnsi="gobCL" w:cs="gobCL"/>
          <w:sz w:val="20"/>
        </w:rPr>
        <w:t xml:space="preserve">Como resultado de la aplicación de fórmula anterior, cada empresa obtendrá un puntaje </w:t>
      </w:r>
      <w:r>
        <w:rPr>
          <w:rFonts w:ascii="gobCL" w:eastAsia="gobCL" w:hAnsi="gobCL" w:cs="gobCL"/>
        </w:rPr>
        <w:t xml:space="preserve">que la situará en una posición dentro del </w:t>
      </w:r>
      <w:r>
        <w:rPr>
          <w:rFonts w:ascii="gobCL" w:eastAsia="gobCL" w:hAnsi="gobCL" w:cs="gobCL"/>
          <w:b/>
        </w:rPr>
        <w:t>Ranking Regional.</w:t>
      </w:r>
    </w:p>
    <w:p w14:paraId="6C7E5544" w14:textId="77777777" w:rsidR="002862B1" w:rsidRDefault="007C48F8">
      <w:pPr>
        <w:shd w:val="clear" w:color="auto" w:fill="FFFFFF"/>
        <w:spacing w:before="240" w:after="240" w:line="240" w:lineRule="auto"/>
        <w:jc w:val="both"/>
        <w:rPr>
          <w:rFonts w:ascii="gobCL" w:eastAsia="gobCL" w:hAnsi="gobCL" w:cs="gobCL"/>
        </w:rPr>
      </w:pPr>
      <w:r>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Pr>
          <w:rFonts w:ascii="gobCL" w:eastAsia="gobCL" w:hAnsi="gobCL" w:cs="gobCL"/>
          <w:vertAlign w:val="superscript"/>
        </w:rPr>
        <w:footnoteReference w:id="10"/>
      </w:r>
      <w:r>
        <w:rPr>
          <w:rFonts w:ascii="gobCL" w:eastAsia="gobCL" w:hAnsi="gobCL" w:cs="gobCL"/>
        </w:rPr>
        <w:t>.</w:t>
      </w:r>
    </w:p>
    <w:p w14:paraId="459A0E3C"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El CER rebajará en un 30% el monto del subsidio en el caso que la empresa postulante presente ventas declaradas en $0 por 3 o más meses dentro del período de análisis, pudiendo o no éstos ser consecutivos. </w:t>
      </w:r>
    </w:p>
    <w:p w14:paraId="4220E971"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03A85F22" w14:textId="77777777" w:rsidR="002862B1" w:rsidRDefault="007C48F8">
      <w:pPr>
        <w:spacing w:before="240" w:after="240" w:line="240" w:lineRule="auto"/>
        <w:jc w:val="both"/>
        <w:rPr>
          <w:rFonts w:ascii="gobCL" w:eastAsia="gobCL" w:hAnsi="gobCL" w:cs="gobCL"/>
        </w:rPr>
      </w:pPr>
      <w:r>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14:paraId="3783C91C" w14:textId="77777777">
        <w:trPr>
          <w:jc w:val="center"/>
        </w:trPr>
        <w:tc>
          <w:tcPr>
            <w:tcW w:w="8907" w:type="dxa"/>
            <w:shd w:val="clear" w:color="auto" w:fill="D9D9D9"/>
            <w:tcMar>
              <w:top w:w="57" w:type="dxa"/>
              <w:bottom w:w="57" w:type="dxa"/>
            </w:tcMar>
          </w:tcPr>
          <w:p w14:paraId="6D564EFA" w14:textId="77777777" w:rsidR="002862B1" w:rsidRDefault="007C48F8">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14:paraId="2320AC6E" w14:textId="77777777" w:rsidR="002862B1" w:rsidRDefault="007C48F8">
            <w:pPr>
              <w:jc w:val="both"/>
              <w:rPr>
                <w:rFonts w:ascii="gobCL" w:eastAsia="gobCL" w:hAnsi="gobCL" w:cs="gobCL"/>
              </w:rPr>
            </w:pPr>
            <w:r>
              <w:rPr>
                <w:rFonts w:ascii="gobCL" w:eastAsia="gobCL" w:hAnsi="gobCL" w:cs="gobCL"/>
                <w:sz w:val="22"/>
                <w:szCs w:val="22"/>
              </w:rPr>
              <w:t xml:space="preserve">En caso que exista igualdad de asignación de puntajes entre los/as seleccionados/as, o en su defecto en la lista de espera, al momento de seleccionar se escogerán a los/as postulantes que realizaron primero su postulación. Si persiste el empate, se seleccionarán a las personas naturales de sexo registral femenino, o la a persona jurídica que esté constituida por al menos el 50% de su capital por socias mujeres y al menos una de sus </w:t>
            </w:r>
            <w:r>
              <w:rPr>
                <w:rFonts w:ascii="gobCL" w:eastAsia="gobCL" w:hAnsi="gobCL" w:cs="gobCL"/>
                <w:sz w:val="22"/>
                <w:szCs w:val="22"/>
              </w:rPr>
              <w:lastRenderedPageBreak/>
              <w:t>representantes legales debe ser de sexo registral femenino, o la cooperativa compuesta por al menos un 50% de asociadas de sexo registral femenino.</w:t>
            </w:r>
          </w:p>
        </w:tc>
      </w:tr>
    </w:tbl>
    <w:p w14:paraId="4F43A483" w14:textId="33488A56" w:rsidR="002862B1" w:rsidRDefault="007C48F8">
      <w:pPr>
        <w:spacing w:before="240" w:after="240" w:line="240" w:lineRule="auto"/>
        <w:jc w:val="both"/>
        <w:rPr>
          <w:rFonts w:ascii="gobCL" w:eastAsia="gobCL" w:hAnsi="gobCL" w:cs="gobCL"/>
        </w:rPr>
      </w:pPr>
      <w:r>
        <w:rPr>
          <w:rFonts w:ascii="gobCL" w:eastAsia="gobCL" w:hAnsi="gobCL" w:cs="gobCL"/>
        </w:rPr>
        <w:lastRenderedPageBreak/>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Default="007C48F8">
      <w:pPr>
        <w:spacing w:before="240" w:after="240" w:line="240" w:lineRule="auto"/>
        <w:jc w:val="both"/>
        <w:rPr>
          <w:rFonts w:ascii="gobCL" w:eastAsia="gobCL" w:hAnsi="gobCL" w:cs="gobCL"/>
          <w:b/>
        </w:rPr>
      </w:pPr>
      <w:r>
        <w:rPr>
          <w:rFonts w:ascii="gobCL" w:eastAsia="gobCL" w:hAnsi="gobCL" w:cs="gobCL"/>
          <w:b/>
        </w:rPr>
        <w:t>5. Formalización</w:t>
      </w:r>
    </w:p>
    <w:p w14:paraId="539A7B42" w14:textId="77777777" w:rsidR="002862B1" w:rsidRDefault="007C48F8">
      <w:pPr>
        <w:spacing w:before="240" w:after="240" w:line="240" w:lineRule="auto"/>
        <w:jc w:val="both"/>
        <w:rPr>
          <w:rFonts w:ascii="gobCL" w:eastAsia="gobCL" w:hAnsi="gobCL" w:cs="gobCL"/>
        </w:rPr>
      </w:pPr>
      <w:r>
        <w:rPr>
          <w:rFonts w:ascii="gobCL" w:eastAsia="gobCL" w:hAnsi="gobCL" w:cs="gobCL"/>
        </w:rPr>
        <w:t>Previo a la firma del contrato, los empresarios/as deben acompañar verificadores de los requisitos de formalización descritos en el punto 2.1.2 Requisitos de Formalización, de éstas Bases de Convocatoria. Lo anterior, en un plazo máximo de 5 días hábiles administrativos, contados desde la 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77777777" w:rsidR="002862B1" w:rsidRDefault="007C48F8">
      <w:pPr>
        <w:spacing w:before="240" w:after="240" w:line="240" w:lineRule="auto"/>
        <w:jc w:val="both"/>
        <w:rPr>
          <w:rFonts w:ascii="gobCL" w:eastAsia="gobCL" w:hAnsi="gobCL" w:cs="gobCL"/>
        </w:rPr>
      </w:pPr>
      <w:r>
        <w:rPr>
          <w:rFonts w:ascii="gobCL" w:eastAsia="gobCL" w:hAnsi="gobCL" w:cs="gobC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4845E338" w14:textId="77777777" w:rsidR="002862B1" w:rsidRDefault="007C48F8">
      <w:pPr>
        <w:spacing w:before="240" w:after="240" w:line="240" w:lineRule="auto"/>
        <w:jc w:val="both"/>
        <w:rPr>
          <w:rFonts w:ascii="gobCL" w:eastAsia="gobCL" w:hAnsi="gobCL" w:cs="gobCL"/>
        </w:rPr>
      </w:pPr>
      <w:r>
        <w:rPr>
          <w:rFonts w:ascii="gobCL" w:eastAsia="gobCL" w:hAnsi="gobCL" w:cs="gobCL"/>
        </w:rPr>
        <w:t>Luego que empresario haga llegar la totalidad de la documentación, tendrá un plazo de 5 días hábiles administrativos para firmar contrato con el AOS.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3C2AB509" w14:textId="77777777" w:rsidR="002862B1" w:rsidRDefault="007C48F8">
      <w:pPr>
        <w:spacing w:before="240" w:after="240" w:line="240" w:lineRule="auto"/>
        <w:jc w:val="both"/>
        <w:rPr>
          <w:rFonts w:ascii="gobCL" w:eastAsia="gobCL" w:hAnsi="gobCL" w:cs="gobCL"/>
        </w:rPr>
      </w:pPr>
      <w:r>
        <w:rPr>
          <w:rFonts w:ascii="gobCL" w:eastAsia="gobCL" w:hAnsi="gobCL" w:cs="gobCL"/>
        </w:rPr>
        <w:t>Frente a cualquier información o situación entregada que falte a la verdad, se dejará sin efecto la adjudicación realizada, ante lo cual Sercotec podrá iniciar las acciones legales correspondientes.</w:t>
      </w:r>
    </w:p>
    <w:p w14:paraId="4D6FDE01" w14:textId="77777777" w:rsidR="002862B1" w:rsidRDefault="007C48F8">
      <w:pPr>
        <w:pBdr>
          <w:top w:val="nil"/>
          <w:left w:val="nil"/>
          <w:bottom w:val="nil"/>
          <w:right w:val="nil"/>
          <w:between w:val="nil"/>
        </w:pBdr>
        <w:ind w:hanging="720"/>
        <w:jc w:val="both"/>
        <w:rPr>
          <w:rFonts w:ascii="gobCL" w:eastAsia="gobCL" w:hAnsi="gobCL" w:cs="gobCL"/>
          <w:b/>
          <w:color w:val="000000"/>
          <w:u w:val="single"/>
        </w:rPr>
      </w:pPr>
      <w:r>
        <w:rPr>
          <w:rFonts w:ascii="gobCL" w:eastAsia="gobCL" w:hAnsi="gobCL" w:cs="gobCL"/>
          <w:color w:val="000000"/>
        </w:rPr>
        <w:tab/>
      </w:r>
      <w:r>
        <w:rPr>
          <w:rFonts w:ascii="gobCL" w:eastAsia="gobCL" w:hAnsi="gobCL" w:cs="gobCL"/>
          <w:b/>
          <w:color w:val="000000"/>
          <w:u w:val="single"/>
        </w:rPr>
        <w:t xml:space="preserve">En el contrato, debe quedar reflejado el monto del subsidio Sercotec contenido en el Plan de Inversión elaborado en conjunto entre el beneficiario y el AOS. </w:t>
      </w:r>
    </w:p>
    <w:tbl>
      <w:tblPr>
        <w:tblStyle w:val="af1"/>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14:paraId="06367456" w14:textId="77777777">
        <w:trPr>
          <w:jc w:val="center"/>
        </w:trPr>
        <w:tc>
          <w:tcPr>
            <w:tcW w:w="8907" w:type="dxa"/>
            <w:shd w:val="clear" w:color="auto" w:fill="D9D9D9"/>
            <w:tcMar>
              <w:top w:w="57" w:type="dxa"/>
              <w:bottom w:w="57" w:type="dxa"/>
            </w:tcMar>
          </w:tcPr>
          <w:p w14:paraId="57A4ADFE" w14:textId="77777777" w:rsidR="002862B1" w:rsidRDefault="007C48F8">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14:paraId="63B3DD1C" w14:textId="77777777" w:rsidR="002862B1" w:rsidRDefault="007C48F8">
            <w:pPr>
              <w:jc w:val="both"/>
              <w:rPr>
                <w:rFonts w:ascii="gobCL" w:eastAsia="gobCL" w:hAnsi="gobCL" w:cs="gobCL"/>
                <w:sz w:val="22"/>
                <w:szCs w:val="22"/>
              </w:rPr>
            </w:pPr>
            <w:r>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Default="007C48F8">
      <w:pPr>
        <w:spacing w:before="240" w:after="240" w:line="240" w:lineRule="auto"/>
        <w:jc w:val="both"/>
        <w:rPr>
          <w:rFonts w:ascii="gobCL" w:eastAsia="gobCL" w:hAnsi="gobCL" w:cs="gobCL"/>
        </w:rPr>
      </w:pPr>
      <w:r>
        <w:rPr>
          <w:rFonts w:ascii="gobCL" w:eastAsia="gobCL" w:hAnsi="gobCL" w:cs="gobCL"/>
        </w:rPr>
        <w:t xml:space="preserve">Los días hábiles administrativos excluyen los días sábados, domingos y festivos. </w:t>
      </w:r>
    </w:p>
    <w:p w14:paraId="08C1F925" w14:textId="77777777" w:rsidR="0017165A" w:rsidRDefault="0017165A">
      <w:pPr>
        <w:spacing w:before="240" w:after="240" w:line="240" w:lineRule="auto"/>
        <w:jc w:val="both"/>
        <w:rPr>
          <w:rFonts w:ascii="gobCL" w:eastAsia="gobCL" w:hAnsi="gobCL" w:cs="gobCL"/>
          <w:b/>
        </w:rPr>
      </w:pPr>
    </w:p>
    <w:p w14:paraId="04313882" w14:textId="77777777" w:rsidR="0017165A" w:rsidRDefault="0017165A">
      <w:pPr>
        <w:spacing w:before="240" w:after="240" w:line="240" w:lineRule="auto"/>
        <w:jc w:val="both"/>
        <w:rPr>
          <w:rFonts w:ascii="gobCL" w:eastAsia="gobCL" w:hAnsi="gobCL" w:cs="gobCL"/>
          <w:b/>
        </w:rPr>
      </w:pPr>
    </w:p>
    <w:p w14:paraId="282D5C18" w14:textId="77777777" w:rsidR="0017165A" w:rsidRDefault="0017165A">
      <w:pPr>
        <w:spacing w:before="240" w:after="240" w:line="240" w:lineRule="auto"/>
        <w:jc w:val="both"/>
        <w:rPr>
          <w:rFonts w:ascii="gobCL" w:eastAsia="gobCL" w:hAnsi="gobCL" w:cs="gobCL"/>
          <w:b/>
        </w:rPr>
      </w:pPr>
    </w:p>
    <w:p w14:paraId="5E766986" w14:textId="6F51977C" w:rsidR="002862B1" w:rsidRDefault="007C48F8">
      <w:pPr>
        <w:spacing w:before="240" w:after="240" w:line="240" w:lineRule="auto"/>
        <w:jc w:val="both"/>
        <w:rPr>
          <w:rFonts w:ascii="gobCL" w:eastAsia="gobCL" w:hAnsi="gobCL" w:cs="gobCL"/>
          <w:b/>
        </w:rPr>
      </w:pPr>
      <w:r>
        <w:rPr>
          <w:rFonts w:ascii="gobCL" w:eastAsia="gobCL" w:hAnsi="gobCL" w:cs="gobCL"/>
          <w:b/>
        </w:rPr>
        <w:lastRenderedPageBreak/>
        <w:t>6. Implementación del Plan de Inversión</w:t>
      </w:r>
    </w:p>
    <w:p w14:paraId="7FBB317D" w14:textId="77777777" w:rsidR="002862B1" w:rsidRDefault="007C48F8">
      <w:pPr>
        <w:spacing w:before="240" w:after="240"/>
        <w:jc w:val="both"/>
        <w:rPr>
          <w:rFonts w:ascii="gobCL" w:eastAsia="gobCL" w:hAnsi="gobCL" w:cs="gobCL"/>
        </w:rPr>
      </w:pPr>
      <w:r>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0FE718AA" w14:textId="437C08B6" w:rsidR="002862B1" w:rsidRPr="00B2442B" w:rsidRDefault="007C48F8" w:rsidP="008E2CF4">
      <w:pPr>
        <w:spacing w:before="240" w:after="240"/>
        <w:jc w:val="both"/>
        <w:rPr>
          <w:rFonts w:ascii="gobCL" w:eastAsia="gobCL" w:hAnsi="gobCL" w:cs="gobCL"/>
        </w:rPr>
      </w:pPr>
      <w:r>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77777777" w:rsidR="002862B1" w:rsidRDefault="007C48F8">
      <w:pPr>
        <w:spacing w:before="240" w:after="240"/>
        <w:jc w:val="both"/>
        <w:rPr>
          <w:rFonts w:ascii="gobCL" w:eastAsia="gobCL" w:hAnsi="gobCL" w:cs="gobCL"/>
        </w:rPr>
      </w:pPr>
      <w:r>
        <w:rPr>
          <w:rFonts w:ascii="gobCL" w:eastAsia="gobCL" w:hAnsi="gobCL" w:cs="gobCL"/>
        </w:rPr>
        <w:t>Las compras deberán realizarse con posterioridad a la fecha de suscripción del contrato y podrán realizarse a través de las siguientes modalidades:</w:t>
      </w:r>
    </w:p>
    <w:p w14:paraId="22BDCCA1" w14:textId="786D5DD2" w:rsidR="002862B1"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Pr>
          <w:rFonts w:ascii="gobCL" w:eastAsia="gobCL" w:hAnsi="gobCL" w:cs="gobCL"/>
          <w:b/>
          <w:color w:val="000000"/>
        </w:rPr>
        <w:t>Compra asistida por el AOS</w:t>
      </w:r>
      <w:r>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$50.000.- (cincuenta mil pesos) netos. De esta forma, todas las compras bajo dicho monto, deben ser financiadas a través del mecanismo de reembolso.</w:t>
      </w:r>
    </w:p>
    <w:p w14:paraId="665FF342" w14:textId="77777777" w:rsidR="002862B1"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77777777" w:rsidR="002862B1"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Pr>
          <w:rFonts w:ascii="gobCL" w:eastAsia="gobCL" w:hAnsi="gobCL" w:cs="gobCL"/>
          <w:b/>
          <w:color w:val="000000"/>
        </w:rPr>
        <w:t>Reembolso de gastos realizados:</w:t>
      </w:r>
      <w:r>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5BB483FF" w14:textId="77777777" w:rsidR="002862B1" w:rsidRDefault="007C48F8">
      <w:pPr>
        <w:spacing w:before="240" w:after="240"/>
        <w:jc w:val="both"/>
        <w:rPr>
          <w:rFonts w:ascii="gobCL" w:eastAsia="gobCL" w:hAnsi="gobCL" w:cs="gobCL"/>
        </w:rPr>
      </w:pPr>
      <w:r>
        <w:rPr>
          <w:rFonts w:ascii="gobCL" w:eastAsia="gobCL" w:hAnsi="gobCL" w:cs="gobCL"/>
        </w:rPr>
        <w:t>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AOS.</w:t>
      </w:r>
    </w:p>
    <w:p w14:paraId="3738AC59" w14:textId="77777777" w:rsidR="002862B1" w:rsidRDefault="007C48F8">
      <w:pPr>
        <w:spacing w:before="240" w:after="240"/>
        <w:jc w:val="both"/>
        <w:rPr>
          <w:rFonts w:ascii="gobCL" w:eastAsia="gobCL" w:hAnsi="gobCL" w:cs="gobCL"/>
        </w:rPr>
      </w:pPr>
      <w:r>
        <w:rPr>
          <w:rFonts w:ascii="gobCL" w:eastAsia="gobCL" w:hAnsi="gobCL" w:cs="gobCL"/>
          <w:b/>
        </w:rPr>
        <w:t>La implementación del subsidio, y su respectiva rendición, no podrá tener un plazo superior a 4 (cuatro) meses</w:t>
      </w:r>
      <w:r>
        <w:rPr>
          <w:rFonts w:ascii="gobCL" w:eastAsia="gobCL" w:hAnsi="gobCL" w:cs="gobCL"/>
        </w:rPr>
        <w:t>, contados desde la fecha de firma del contrato. No obstante, 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77777777" w:rsidR="002862B1" w:rsidRDefault="007C48F8">
      <w:pPr>
        <w:spacing w:before="240" w:after="240"/>
        <w:jc w:val="both"/>
        <w:rPr>
          <w:rFonts w:ascii="gobCL" w:eastAsia="gobCL" w:hAnsi="gobCL" w:cs="gobCL"/>
          <w:b/>
        </w:rPr>
      </w:pPr>
      <w:r>
        <w:rPr>
          <w:rFonts w:ascii="gobCL" w:eastAsia="gobCL" w:hAnsi="gobCL" w:cs="gobCL"/>
          <w:b/>
        </w:rPr>
        <w:t xml:space="preserve">La rendición se realizará de acuerdos a las normas establecidas en el Instructivo de Rendiciones de Sercotec, aprobado por Resolución N° 9856, de 23 de diciembre de 2019, salvo en aquello que haya sido modificado por las presentes bases. </w:t>
      </w:r>
    </w:p>
    <w:p w14:paraId="5ADC008E" w14:textId="4A3187B8" w:rsidR="002862B1" w:rsidRDefault="007C48F8">
      <w:pPr>
        <w:spacing w:before="240" w:after="240"/>
        <w:jc w:val="both"/>
        <w:rPr>
          <w:rFonts w:ascii="gobCL" w:eastAsia="gobCL" w:hAnsi="gobCL" w:cs="gobCL"/>
        </w:rPr>
      </w:pPr>
      <w:r>
        <w:rPr>
          <w:rFonts w:ascii="gobCL" w:eastAsia="gobCL" w:hAnsi="gobCL" w:cs="gobCL"/>
        </w:rPr>
        <w:lastRenderedPageBreak/>
        <w:t>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AOS,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restricciones de financiamiento establecidas en las bases de convocatoria.</w:t>
      </w:r>
    </w:p>
    <w:p w14:paraId="4C0DCE49" w14:textId="77777777" w:rsidR="002862B1" w:rsidRDefault="007C48F8">
      <w:pPr>
        <w:tabs>
          <w:tab w:val="left" w:pos="709"/>
        </w:tabs>
        <w:spacing w:before="240" w:after="240"/>
        <w:jc w:val="both"/>
        <w:rPr>
          <w:rFonts w:ascii="gobCL" w:eastAsia="gobCL" w:hAnsi="gobCL" w:cs="gobCL"/>
          <w:b/>
        </w:rPr>
      </w:pPr>
      <w:r>
        <w:rPr>
          <w:rFonts w:ascii="gobCL" w:eastAsia="gobCL" w:hAnsi="gobCL" w:cs="gobCL"/>
          <w:b/>
        </w:rPr>
        <w:t>7. Cierre del programa</w:t>
      </w:r>
    </w:p>
    <w:p w14:paraId="48AF95DE" w14:textId="77777777" w:rsidR="002862B1" w:rsidRDefault="007C48F8">
      <w:pPr>
        <w:tabs>
          <w:tab w:val="left" w:pos="709"/>
        </w:tabs>
        <w:spacing w:before="240" w:after="240"/>
        <w:jc w:val="both"/>
        <w:rPr>
          <w:rFonts w:ascii="gobCL" w:eastAsia="gobCL" w:hAnsi="gobCL" w:cs="gobCL"/>
        </w:rPr>
      </w:pPr>
      <w:r>
        <w:rPr>
          <w:rFonts w:ascii="gobCL" w:eastAsia="gobCL" w:hAnsi="gobCL" w:cs="gobCL"/>
        </w:rPr>
        <w:t>El Programa, para cada beneficiario/a, se entenderá como terminado una vez que éste/a haya implementado la totalidad de las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13154D34" w14:textId="77777777" w:rsidR="002862B1" w:rsidRDefault="007C48F8">
      <w:pPr>
        <w:spacing w:before="240" w:after="240"/>
        <w:jc w:val="both"/>
        <w:rPr>
          <w:rFonts w:ascii="gobCL" w:eastAsia="gobCL" w:hAnsi="gobCL" w:cs="gobCL"/>
          <w:b/>
        </w:rPr>
      </w:pPr>
      <w:r>
        <w:rPr>
          <w:rFonts w:ascii="gobCL" w:eastAsia="gobCL" w:hAnsi="gobCL" w:cs="gobCL"/>
          <w:b/>
        </w:rPr>
        <w:t>8. Término Anticipado del Proyecto</w:t>
      </w:r>
    </w:p>
    <w:p w14:paraId="333F786B" w14:textId="77777777" w:rsidR="002862B1" w:rsidRDefault="007C48F8">
      <w:pPr>
        <w:spacing w:before="240" w:after="240"/>
        <w:jc w:val="both"/>
        <w:rPr>
          <w:rFonts w:ascii="gobCL" w:eastAsia="gobCL" w:hAnsi="gobCL" w:cs="gobCL"/>
        </w:rPr>
      </w:pPr>
      <w:r>
        <w:rPr>
          <w:rFonts w:ascii="gobCL" w:eastAsia="gobCL" w:hAnsi="gobCL" w:cs="gobCL"/>
        </w:rPr>
        <w:t>Se podrá terminar anticipadamente el contrato suscrito entre el AOS y el beneficiario/a en los siguientes casos:</w:t>
      </w:r>
    </w:p>
    <w:p w14:paraId="24FB6103" w14:textId="77777777" w:rsidR="002862B1"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causas no imputables al beneficiario/a:</w:t>
      </w:r>
    </w:p>
    <w:p w14:paraId="5AC57626" w14:textId="77777777" w:rsidR="002862B1" w:rsidRDefault="007C48F8">
      <w:pPr>
        <w:spacing w:before="240" w:after="240"/>
        <w:jc w:val="both"/>
        <w:rPr>
          <w:rFonts w:ascii="gobCL" w:eastAsia="gobCL" w:hAnsi="gobCL" w:cs="gobCL"/>
        </w:rPr>
      </w:pPr>
      <w:r>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Default="007C48F8">
      <w:pPr>
        <w:spacing w:before="240" w:after="240"/>
        <w:jc w:val="both"/>
        <w:rPr>
          <w:rFonts w:ascii="gobCL" w:eastAsia="gobCL" w:hAnsi="gobCL" w:cs="gobCL"/>
        </w:rPr>
      </w:pPr>
      <w:r>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Default="007C48F8">
      <w:pPr>
        <w:spacing w:before="240" w:after="240"/>
        <w:jc w:val="both"/>
        <w:rPr>
          <w:rFonts w:ascii="gobCL" w:eastAsia="gobCL" w:hAnsi="gobCL" w:cs="gobCL"/>
        </w:rPr>
      </w:pPr>
      <w:r>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77777777" w:rsidR="002862B1" w:rsidRDefault="007C48F8">
      <w:pPr>
        <w:spacing w:before="240" w:after="240"/>
        <w:jc w:val="both"/>
        <w:rPr>
          <w:rFonts w:ascii="gobCL" w:eastAsia="gobCL" w:hAnsi="gobCL" w:cs="gobCL"/>
        </w:rPr>
      </w:pPr>
      <w:r>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64FA9296" w14:textId="77777777" w:rsidR="002862B1"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Pr>
          <w:rFonts w:ascii="gobCL" w:eastAsia="gobCL" w:hAnsi="gobCL" w:cs="gobCL"/>
          <w:b/>
          <w:color w:val="000000"/>
        </w:rPr>
        <w:t>Término anticipado del proyecto por hecho o acto imputable al beneficiario:</w:t>
      </w:r>
    </w:p>
    <w:p w14:paraId="7BD66F09" w14:textId="77777777" w:rsidR="002862B1" w:rsidRDefault="007C48F8">
      <w:pPr>
        <w:spacing w:before="240" w:after="240"/>
        <w:jc w:val="both"/>
        <w:rPr>
          <w:rFonts w:ascii="gobCL" w:eastAsia="gobCL" w:hAnsi="gobCL" w:cs="gobCL"/>
        </w:rPr>
      </w:pPr>
      <w:r>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Default="007C48F8">
      <w:pPr>
        <w:spacing w:before="240" w:after="240"/>
        <w:jc w:val="both"/>
        <w:rPr>
          <w:rFonts w:ascii="gobCL" w:eastAsia="gobCL" w:hAnsi="gobCL" w:cs="gobCL"/>
        </w:rPr>
      </w:pPr>
      <w:r>
        <w:rPr>
          <w:rFonts w:ascii="gobCL" w:eastAsia="gobCL" w:hAnsi="gobCL" w:cs="gobCL"/>
        </w:rPr>
        <w:t>Constituyen incumplimiento imputable al beneficiario las siguientes situaciones, entre otras:</w:t>
      </w:r>
    </w:p>
    <w:p w14:paraId="6E8A9C4D" w14:textId="77777777" w:rsidR="002862B1"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lastRenderedPageBreak/>
        <w:t>Disconformidad grave entre la información técnica y/o legal entregada, y la efectiva;</w:t>
      </w:r>
    </w:p>
    <w:p w14:paraId="569B386C" w14:textId="77777777" w:rsidR="002862B1"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Incumplimiento grave en la ejecución del Plan de Inversiones;</w:t>
      </w:r>
    </w:p>
    <w:p w14:paraId="1BD06A38" w14:textId="77777777" w:rsidR="002862B1"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En caso que el beneficiario/a renuncie sin expresión de causa a continuar el proyecto;</w:t>
      </w:r>
    </w:p>
    <w:p w14:paraId="258797CC" w14:textId="77777777" w:rsidR="002862B1" w:rsidRDefault="007C48F8">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Pr>
          <w:rFonts w:ascii="gobCL" w:eastAsia="gobCL" w:hAnsi="gobCL" w:cs="gobCL"/>
          <w:color w:val="000000"/>
        </w:rPr>
        <w:t xml:space="preserve">Otras causas imputables a la falta de diligencia del beneficiario/a en el desempeño de sus actividades relacionadas con el Plan de Inversión, calificadas debidamente por Sercotec. </w:t>
      </w:r>
    </w:p>
    <w:p w14:paraId="5DD74274" w14:textId="77777777" w:rsidR="002862B1" w:rsidRDefault="007C48F8">
      <w:pPr>
        <w:spacing w:before="240" w:after="240"/>
        <w:jc w:val="both"/>
        <w:rPr>
          <w:rFonts w:ascii="gobCL" w:eastAsia="gobCL" w:hAnsi="gobCL" w:cs="gobCL"/>
        </w:rPr>
      </w:pPr>
      <w:r>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Default="007C48F8">
      <w:pPr>
        <w:spacing w:before="240" w:after="240"/>
        <w:jc w:val="both"/>
        <w:rPr>
          <w:rFonts w:ascii="gobCL" w:eastAsia="gobCL" w:hAnsi="gobCL" w:cs="gobCL"/>
        </w:rPr>
      </w:pPr>
      <w:r>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AOS. </w:t>
      </w:r>
    </w:p>
    <w:p w14:paraId="4908D73A" w14:textId="77777777" w:rsidR="002862B1" w:rsidRDefault="007C48F8">
      <w:pPr>
        <w:spacing w:before="240" w:after="240"/>
        <w:jc w:val="both"/>
        <w:rPr>
          <w:rFonts w:ascii="gobCL" w:eastAsia="gobCL" w:hAnsi="gobCL" w:cs="gobCL"/>
          <w:b/>
        </w:rPr>
      </w:pPr>
      <w:r>
        <w:rPr>
          <w:rFonts w:ascii="gobCL" w:eastAsia="gobCL" w:hAnsi="gobCL" w:cs="gobCL"/>
          <w:b/>
        </w:rPr>
        <w:t>9. Otros</w:t>
      </w:r>
    </w:p>
    <w:p w14:paraId="7335AA2D" w14:textId="77777777" w:rsidR="002862B1" w:rsidRDefault="007C48F8">
      <w:pPr>
        <w:spacing w:before="240" w:after="240"/>
        <w:jc w:val="both"/>
        <w:rPr>
          <w:rFonts w:ascii="gobCL" w:eastAsia="gobCL" w:hAnsi="gobCL" w:cs="gobCL"/>
        </w:rPr>
      </w:pPr>
      <w:r>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6CCE85F1" w14:textId="77777777" w:rsidR="002862B1" w:rsidRDefault="007C48F8">
      <w:pPr>
        <w:spacing w:before="240" w:after="240"/>
        <w:jc w:val="both"/>
        <w:rPr>
          <w:rFonts w:ascii="gobCL" w:eastAsia="gobCL" w:hAnsi="gobCL" w:cs="gobCL"/>
        </w:rPr>
      </w:pPr>
      <w:r>
        <w:rPr>
          <w:rFonts w:ascii="gobCL" w:eastAsia="gobCL" w:hAnsi="gobCL" w:cs="gobCL"/>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49F569A8" w14:textId="77777777" w:rsidR="002862B1"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Pr>
          <w:rFonts w:ascii="gobCL" w:eastAsia="gobCL" w:hAnsi="gobCL" w:cs="gobCL"/>
          <w:color w:val="000000"/>
        </w:rPr>
        <w:t>Generación de ventas.</w:t>
      </w:r>
    </w:p>
    <w:p w14:paraId="66E33CA7" w14:textId="77777777" w:rsidR="002862B1"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Pr>
          <w:rFonts w:ascii="gobCL" w:eastAsia="gobCL" w:hAnsi="gobCL" w:cs="gobCL"/>
          <w:color w:val="000000"/>
        </w:rPr>
        <w:t>Generación de empleos.</w:t>
      </w:r>
    </w:p>
    <w:p w14:paraId="369ABEB7" w14:textId="77777777" w:rsidR="002862B1" w:rsidRDefault="007C48F8">
      <w:pPr>
        <w:spacing w:after="0" w:line="276" w:lineRule="auto"/>
        <w:ind w:left="714"/>
        <w:jc w:val="both"/>
        <w:rPr>
          <w:rFonts w:ascii="gobCL" w:eastAsia="gobCL" w:hAnsi="gobCL" w:cs="gobCL"/>
          <w:color w:val="000000"/>
        </w:rPr>
      </w:pPr>
      <w:r>
        <w:rPr>
          <w:rFonts w:ascii="gobCL" w:eastAsia="gobCL" w:hAnsi="gobCL" w:cs="gobCL"/>
        </w:rPr>
        <w:t xml:space="preserve">    </w:t>
      </w:r>
    </w:p>
    <w:p w14:paraId="69934978" w14:textId="77777777" w:rsidR="002862B1" w:rsidRDefault="007C48F8">
      <w:pPr>
        <w:spacing w:after="0" w:line="276" w:lineRule="auto"/>
        <w:jc w:val="both"/>
        <w:rPr>
          <w:rFonts w:ascii="gobCL" w:eastAsia="gobCL" w:hAnsi="gobCL" w:cs="gobCL"/>
        </w:rPr>
      </w:pPr>
      <w:r>
        <w:rPr>
          <w:rFonts w:ascii="gobCL" w:eastAsia="gobCL" w:hAnsi="gobCL" w:cs="gobCL"/>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Default="007C48F8">
      <w:pPr>
        <w:spacing w:before="240" w:after="240"/>
        <w:jc w:val="both"/>
        <w:rPr>
          <w:rFonts w:ascii="gobCL" w:eastAsia="gobCL" w:hAnsi="gobCL" w:cs="gobCL"/>
        </w:rPr>
      </w:pPr>
      <w:r>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w:t>
      </w:r>
      <w:r>
        <w:rPr>
          <w:rFonts w:ascii="gobCL" w:eastAsia="gobCL" w:hAnsi="gobCL" w:cs="gobCL"/>
        </w:rPr>
        <w:lastRenderedPageBreak/>
        <w:t xml:space="preserve">con fuentes oficiales, tales como el SII, Registro Civil, Dirección del Trabajo, Ministerio de Desarrollo Social, Tesorería General de la República, entre otros.  </w:t>
      </w:r>
    </w:p>
    <w:p w14:paraId="268E4B6A" w14:textId="77777777" w:rsidR="002862B1" w:rsidRDefault="007C48F8">
      <w:pPr>
        <w:spacing w:before="240" w:after="240"/>
        <w:jc w:val="both"/>
        <w:rPr>
          <w:rFonts w:ascii="gobCL" w:eastAsia="gobCL" w:hAnsi="gobCL" w:cs="gobCL"/>
        </w:rPr>
      </w:pPr>
      <w:r>
        <w:rPr>
          <w:rFonts w:ascii="gobCL" w:eastAsia="gobCL" w:hAnsi="gobCL" w:cs="gobCL"/>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7777777" w:rsidR="002862B1" w:rsidRDefault="007C48F8">
      <w:pPr>
        <w:spacing w:before="240" w:after="240"/>
        <w:jc w:val="both"/>
        <w:rPr>
          <w:rFonts w:ascii="gobCL" w:eastAsia="gobCL" w:hAnsi="gobCL" w:cs="gobCL"/>
        </w:rPr>
      </w:pPr>
      <w:r>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14:paraId="62BD9662" w14:textId="77777777">
        <w:trPr>
          <w:jc w:val="center"/>
        </w:trPr>
        <w:tc>
          <w:tcPr>
            <w:tcW w:w="8907" w:type="dxa"/>
            <w:shd w:val="clear" w:color="auto" w:fill="D9D9D9"/>
            <w:tcMar>
              <w:top w:w="57" w:type="dxa"/>
              <w:bottom w:w="57" w:type="dxa"/>
            </w:tcMar>
          </w:tcPr>
          <w:p w14:paraId="7CAAA39E" w14:textId="77777777" w:rsidR="002862B1" w:rsidRDefault="007C48F8">
            <w:pPr>
              <w:rPr>
                <w:rFonts w:ascii="gobCL" w:eastAsia="gobCL" w:hAnsi="gobCL" w:cs="gobCL"/>
                <w:b/>
                <w:sz w:val="22"/>
                <w:szCs w:val="22"/>
              </w:rPr>
            </w:pPr>
            <w:r>
              <w:rPr>
                <w:rFonts w:ascii="gobCL" w:eastAsia="gobCL" w:hAnsi="gobCL" w:cs="gobCL"/>
                <w:b/>
                <w:sz w:val="22"/>
                <w:szCs w:val="22"/>
                <w:u w:val="single"/>
              </w:rPr>
              <w:t>IMPORTANTE</w:t>
            </w:r>
            <w:r>
              <w:rPr>
                <w:rFonts w:ascii="gobCL" w:eastAsia="gobCL" w:hAnsi="gobCL" w:cs="gobCL"/>
                <w:b/>
                <w:sz w:val="22"/>
                <w:szCs w:val="22"/>
              </w:rPr>
              <w:t>:</w:t>
            </w:r>
          </w:p>
          <w:p w14:paraId="3953E67A" w14:textId="77777777" w:rsidR="002862B1" w:rsidRDefault="007C48F8">
            <w:pPr>
              <w:jc w:val="both"/>
              <w:rPr>
                <w:rFonts w:ascii="gobCL" w:eastAsia="gobCL" w:hAnsi="gobCL" w:cs="gobCL"/>
                <w:sz w:val="22"/>
                <w:szCs w:val="22"/>
              </w:rPr>
            </w:pPr>
            <w:r>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3F130F" w14:textId="2BDB8AA9" w:rsidR="002862B1" w:rsidRDefault="002862B1">
      <w:pPr>
        <w:spacing w:before="240" w:after="240"/>
        <w:jc w:val="both"/>
        <w:rPr>
          <w:rFonts w:ascii="gobCL" w:eastAsia="gobCL" w:hAnsi="gobCL" w:cs="gobCL"/>
        </w:rPr>
      </w:pPr>
    </w:p>
    <w:p w14:paraId="2063432C" w14:textId="2CDFE066" w:rsidR="003F0668" w:rsidRDefault="003F0668">
      <w:pPr>
        <w:rPr>
          <w:rFonts w:ascii="gobCL" w:eastAsia="gobCL" w:hAnsi="gobCL" w:cs="gobCL"/>
        </w:rPr>
      </w:pPr>
      <w:r>
        <w:rPr>
          <w:rFonts w:ascii="gobCL" w:eastAsia="gobCL" w:hAnsi="gobCL" w:cs="gobCL"/>
        </w:rPr>
        <w:br w:type="page"/>
      </w:r>
    </w:p>
    <w:p w14:paraId="74CAD7AD" w14:textId="77777777" w:rsidR="002862B1" w:rsidRDefault="007C48F8">
      <w:pPr>
        <w:jc w:val="center"/>
        <w:rPr>
          <w:rFonts w:ascii="gobCL" w:eastAsia="gobCL" w:hAnsi="gobCL" w:cs="gobCL"/>
          <w:b/>
          <w:sz w:val="20"/>
          <w:szCs w:val="20"/>
        </w:rPr>
      </w:pPr>
      <w:r>
        <w:rPr>
          <w:rFonts w:ascii="gobCL" w:eastAsia="gobCL" w:hAnsi="gobCL" w:cs="gobCL"/>
          <w:b/>
          <w:sz w:val="20"/>
          <w:szCs w:val="20"/>
        </w:rPr>
        <w:lastRenderedPageBreak/>
        <w:t>ANEXO N°1</w:t>
      </w:r>
    </w:p>
    <w:p w14:paraId="24C0EEA7" w14:textId="77777777" w:rsidR="002862B1" w:rsidRDefault="007C48F8">
      <w:pPr>
        <w:jc w:val="center"/>
        <w:rPr>
          <w:rFonts w:ascii="gobCL" w:eastAsia="gobCL" w:hAnsi="gobCL" w:cs="gobCL"/>
          <w:b/>
          <w:sz w:val="20"/>
          <w:szCs w:val="20"/>
        </w:rPr>
      </w:pPr>
      <w:r>
        <w:rPr>
          <w:rFonts w:ascii="gobCL" w:eastAsia="gobCL" w:hAnsi="gobCL" w:cs="gobCL"/>
          <w:b/>
          <w:sz w:val="20"/>
          <w:szCs w:val="20"/>
        </w:rPr>
        <w:t xml:space="preserve">MEDIOS DE VERIFICACIÓN DEL CUMPLIMIENTO DE LOS REQUISITOS DE ADMISIBILIDAD </w:t>
      </w:r>
    </w:p>
    <w:p w14:paraId="1890383D" w14:textId="77777777" w:rsidR="002862B1" w:rsidRDefault="007C48F8">
      <w:pPr>
        <w:jc w:val="both"/>
        <w:rPr>
          <w:rFonts w:ascii="gobCL" w:eastAsia="gobCL" w:hAnsi="gobCL" w:cs="gobCL"/>
          <w:b/>
          <w:color w:val="000000"/>
          <w:sz w:val="20"/>
          <w:szCs w:val="20"/>
        </w:rPr>
      </w:pPr>
      <w:r>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14:paraId="454BEA4C" w14:textId="77777777" w:rsidTr="00C33797">
        <w:tc>
          <w:tcPr>
            <w:tcW w:w="4531" w:type="dxa"/>
            <w:shd w:val="clear" w:color="auto" w:fill="D9D9D9"/>
          </w:tcPr>
          <w:p w14:paraId="6FCA3F25" w14:textId="77777777" w:rsidR="002862B1" w:rsidRDefault="007C48F8">
            <w:pPr>
              <w:jc w:val="center"/>
              <w:rPr>
                <w:rFonts w:ascii="gobCL" w:eastAsia="gobCL" w:hAnsi="gobCL" w:cs="gobCL"/>
                <w:b/>
              </w:rPr>
            </w:pPr>
            <w:r>
              <w:rPr>
                <w:rFonts w:ascii="gobCL" w:eastAsia="gobCL" w:hAnsi="gobCL" w:cs="gobCL"/>
                <w:b/>
              </w:rPr>
              <w:t>Requisito</w:t>
            </w:r>
          </w:p>
        </w:tc>
        <w:tc>
          <w:tcPr>
            <w:tcW w:w="4297" w:type="dxa"/>
            <w:shd w:val="clear" w:color="auto" w:fill="D9D9D9"/>
          </w:tcPr>
          <w:p w14:paraId="3CE5571E" w14:textId="77777777" w:rsidR="002862B1" w:rsidRDefault="007C48F8">
            <w:pPr>
              <w:pBdr>
                <w:top w:val="nil"/>
                <w:left w:val="nil"/>
                <w:bottom w:val="nil"/>
                <w:right w:val="nil"/>
                <w:between w:val="nil"/>
              </w:pBdr>
              <w:ind w:hanging="720"/>
              <w:jc w:val="center"/>
              <w:rPr>
                <w:rFonts w:ascii="gobCL" w:eastAsia="gobCL" w:hAnsi="gobCL" w:cs="gobCL"/>
                <w:b/>
                <w:color w:val="000000"/>
              </w:rPr>
            </w:pPr>
            <w:r>
              <w:rPr>
                <w:rFonts w:ascii="gobCL" w:eastAsia="gobCL" w:hAnsi="gobCL" w:cs="gobCL"/>
                <w:b/>
                <w:color w:val="000000"/>
              </w:rPr>
              <w:t>Medio de verificación</w:t>
            </w:r>
          </w:p>
        </w:tc>
      </w:tr>
      <w:tr w:rsidR="002862B1" w14:paraId="284C2CBF" w14:textId="77777777" w:rsidTr="00C33797">
        <w:tc>
          <w:tcPr>
            <w:tcW w:w="4531" w:type="dxa"/>
          </w:tcPr>
          <w:p w14:paraId="0C683BA1" w14:textId="74A33503" w:rsidR="002862B1" w:rsidRDefault="007C48F8">
            <w:pPr>
              <w:jc w:val="both"/>
              <w:rPr>
                <w:rFonts w:ascii="gobCL" w:eastAsia="gobCL" w:hAnsi="gobCL" w:cs="gobCL"/>
              </w:rPr>
            </w:pPr>
            <w:r>
              <w:rPr>
                <w:rFonts w:ascii="gobCL" w:eastAsia="gobCL" w:hAnsi="gobCL" w:cs="gobCL"/>
              </w:rPr>
              <w:t>Ser persona natural y/o jurídica con iniciación de actividades en primera categoría ante el Servicio de Impuestos Internos (SII) vigente al inicio de la convocatoria.</w:t>
            </w:r>
          </w:p>
        </w:tc>
        <w:tc>
          <w:tcPr>
            <w:tcW w:w="4297" w:type="dxa"/>
          </w:tcPr>
          <w:p w14:paraId="15C4570C" w14:textId="77777777" w:rsidR="002862B1" w:rsidRDefault="007C48F8">
            <w:pPr>
              <w:jc w:val="both"/>
              <w:rPr>
                <w:rFonts w:ascii="gobCL" w:eastAsia="gobCL" w:hAnsi="gobCL" w:cs="gobCL"/>
              </w:rPr>
            </w:pPr>
            <w:r>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p>
        </w:tc>
      </w:tr>
      <w:tr w:rsidR="002862B1" w14:paraId="4F41D23E" w14:textId="77777777" w:rsidTr="00C33797">
        <w:tc>
          <w:tcPr>
            <w:tcW w:w="4531" w:type="dxa"/>
          </w:tcPr>
          <w:p w14:paraId="0D5D5682" w14:textId="77777777" w:rsidR="002862B1" w:rsidRDefault="007C48F8">
            <w:pPr>
              <w:jc w:val="both"/>
              <w:rPr>
                <w:rFonts w:ascii="gobCL" w:eastAsia="gobCL" w:hAnsi="gobCL" w:cs="gobCL"/>
              </w:rPr>
            </w:pPr>
            <w:r>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2862B1" w:rsidRDefault="007C48F8">
            <w:pPr>
              <w:jc w:val="both"/>
              <w:rPr>
                <w:rFonts w:ascii="gobCL" w:eastAsia="gobCL" w:hAnsi="gobCL" w:cs="gobCL"/>
              </w:rPr>
            </w:pPr>
            <w:r>
              <w:rPr>
                <w:rFonts w:ascii="gobCL" w:eastAsia="gobCL" w:hAnsi="gobCL" w:cs="gobCL"/>
              </w:rPr>
              <w:t>Requisito validado por Sercotec para el RUT de la empresa postulante.</w:t>
            </w:r>
          </w:p>
        </w:tc>
      </w:tr>
      <w:tr w:rsidR="002862B1" w14:paraId="529CEC0F" w14:textId="77777777" w:rsidTr="00C33797">
        <w:tc>
          <w:tcPr>
            <w:tcW w:w="4531" w:type="dxa"/>
          </w:tcPr>
          <w:p w14:paraId="2B2B629A" w14:textId="77777777" w:rsidR="002862B1" w:rsidRDefault="007C48F8">
            <w:pPr>
              <w:jc w:val="both"/>
              <w:rPr>
                <w:rFonts w:ascii="gobCL" w:eastAsia="gobCL" w:hAnsi="gobCL" w:cs="gobCL"/>
              </w:rPr>
            </w:pPr>
            <w:r>
              <w:rPr>
                <w:rFonts w:ascii="gobCL" w:eastAsia="gobCL" w:hAnsi="gobCL" w:cs="gobCL"/>
              </w:rPr>
              <w:t>No tener condenas por prácticas antisindicales y/o infracción a derechos fundamentales del trabajador, dentro de los dos años anteriores a la fecha de cierre de las postulaciones de la presente convocatoria. Sercotec validará nuevamente esta condición al momento de formalizar.</w:t>
            </w:r>
          </w:p>
        </w:tc>
        <w:tc>
          <w:tcPr>
            <w:tcW w:w="4297" w:type="dxa"/>
          </w:tcPr>
          <w:p w14:paraId="3A726BC3" w14:textId="77777777" w:rsidR="002862B1" w:rsidRDefault="007C48F8">
            <w:pPr>
              <w:jc w:val="both"/>
              <w:rPr>
                <w:rFonts w:ascii="gobCL" w:eastAsia="gobCL" w:hAnsi="gobCL" w:cs="gobCL"/>
              </w:rPr>
            </w:pPr>
            <w:r>
              <w:rPr>
                <w:rFonts w:ascii="gobCL" w:eastAsia="gobCL" w:hAnsi="gobCL" w:cs="gobCL"/>
              </w:rPr>
              <w:t>Requisito validado automáticamente a través de la plataforma provista por la Dirección del Trabajo (se validará el requisito para el RUT de la empresa postulante).</w:t>
            </w:r>
          </w:p>
        </w:tc>
      </w:tr>
    </w:tbl>
    <w:p w14:paraId="6918DB94" w14:textId="62E7600A" w:rsidR="002862B1" w:rsidRDefault="007C48F8">
      <w:pPr>
        <w:spacing w:before="240" w:after="240"/>
        <w:jc w:val="both"/>
        <w:rPr>
          <w:rFonts w:ascii="gobCL" w:eastAsia="gobCL" w:hAnsi="gobCL" w:cs="gobCL"/>
          <w:b/>
          <w:sz w:val="20"/>
          <w:szCs w:val="20"/>
        </w:rPr>
      </w:pPr>
      <w:r>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Default="007C48F8">
            <w:pPr>
              <w:jc w:val="center"/>
              <w:rPr>
                <w:rFonts w:ascii="gobCL" w:eastAsia="gobCL" w:hAnsi="gobCL" w:cs="gobCL"/>
                <w:b/>
              </w:rPr>
            </w:pPr>
            <w:r>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Default="007C48F8">
            <w:pPr>
              <w:pBdr>
                <w:top w:val="nil"/>
                <w:left w:val="nil"/>
                <w:bottom w:val="nil"/>
                <w:right w:val="nil"/>
                <w:between w:val="nil"/>
              </w:pBdr>
              <w:ind w:hanging="720"/>
              <w:jc w:val="center"/>
              <w:rPr>
                <w:rFonts w:ascii="gobCL" w:eastAsia="gobCL" w:hAnsi="gobCL" w:cs="gobCL"/>
                <w:b/>
                <w:color w:val="000000"/>
              </w:rPr>
            </w:pPr>
            <w:r>
              <w:rPr>
                <w:rFonts w:ascii="gobCL" w:eastAsia="gobCL" w:hAnsi="gobCL" w:cs="gobCL"/>
                <w:b/>
                <w:color w:val="000000"/>
              </w:rPr>
              <w:t>Medio de verificación</w:t>
            </w:r>
          </w:p>
        </w:tc>
      </w:tr>
      <w:tr w:rsidR="002862B1"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74C10D" w14:textId="77777777" w:rsidR="002862B1" w:rsidRDefault="007C48F8">
            <w:pPr>
              <w:jc w:val="both"/>
              <w:rPr>
                <w:rFonts w:ascii="gobCL" w:eastAsia="gobCL" w:hAnsi="gobCL" w:cs="gobCL"/>
              </w:rPr>
            </w:pPr>
            <w:r>
              <w:rPr>
                <w:rFonts w:ascii="gobCL" w:eastAsia="gobCL" w:hAnsi="gobCL" w:cs="gobCL"/>
              </w:rPr>
              <w:t xml:space="preserve">Contar con ventas netas anuales demostrables mayores a 0 e inferiores o iguales a 25.000 UF. </w:t>
            </w:r>
          </w:p>
          <w:p w14:paraId="581F006A" w14:textId="77777777" w:rsidR="002862B1" w:rsidRDefault="007C48F8">
            <w:pPr>
              <w:jc w:val="both"/>
              <w:rPr>
                <w:rFonts w:ascii="gobCL" w:eastAsia="gobCL" w:hAnsi="gobCL" w:cs="gobCL"/>
              </w:rPr>
            </w:pPr>
            <w:r>
              <w:rPr>
                <w:rFonts w:ascii="gobCL" w:eastAsia="gobCL" w:hAnsi="gobCL" w:cs="gobCL"/>
              </w:rPr>
              <w:t>Para el cálculo del nivel de las ventas netas se utilizará el valor de la UF correspondiente a la fecha de inicio de la presente convocatoria y se utilizará el siguiente período:</w:t>
            </w:r>
          </w:p>
          <w:tbl>
            <w:tblPr>
              <w:tblStyle w:val="af5"/>
              <w:tblW w:w="4323" w:type="dxa"/>
              <w:tblInd w:w="0" w:type="dxa"/>
              <w:tblLayout w:type="fixed"/>
              <w:tblLook w:val="0400" w:firstRow="0" w:lastRow="0" w:firstColumn="0" w:lastColumn="0" w:noHBand="0" w:noVBand="1"/>
            </w:tblPr>
            <w:tblGrid>
              <w:gridCol w:w="1932"/>
              <w:gridCol w:w="2391"/>
            </w:tblGrid>
            <w:tr w:rsidR="002862B1" w14:paraId="64DBD941" w14:textId="77777777">
              <w:trPr>
                <w:trHeight w:val="488"/>
              </w:trPr>
              <w:tc>
                <w:tcPr>
                  <w:tcW w:w="193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85FC38A" w14:textId="77777777" w:rsidR="002862B1" w:rsidRPr="00E91F01" w:rsidRDefault="007C48F8">
                  <w:pPr>
                    <w:spacing w:after="0" w:line="240" w:lineRule="auto"/>
                    <w:jc w:val="center"/>
                    <w:rPr>
                      <w:rFonts w:ascii="gobCL" w:eastAsia="gobCL" w:hAnsi="gobCL" w:cs="gobCL"/>
                      <w:b/>
                      <w:color w:val="000000"/>
                      <w:sz w:val="18"/>
                      <w:szCs w:val="18"/>
                    </w:rPr>
                  </w:pPr>
                  <w:r w:rsidRPr="00E91F01">
                    <w:rPr>
                      <w:rFonts w:ascii="gobCL" w:eastAsia="gobCL" w:hAnsi="gobCL" w:cs="gobCL"/>
                      <w:b/>
                      <w:color w:val="000000"/>
                      <w:sz w:val="18"/>
                      <w:szCs w:val="18"/>
                    </w:rPr>
                    <w:t>Mes de Inicio de Convocatoria</w:t>
                  </w:r>
                </w:p>
              </w:tc>
              <w:tc>
                <w:tcPr>
                  <w:tcW w:w="2391" w:type="dxa"/>
                  <w:tcBorders>
                    <w:top w:val="single" w:sz="4" w:space="0" w:color="000000"/>
                    <w:left w:val="nil"/>
                    <w:bottom w:val="single" w:sz="4" w:space="0" w:color="000000"/>
                    <w:right w:val="single" w:sz="4" w:space="0" w:color="000000"/>
                  </w:tcBorders>
                  <w:shd w:val="clear" w:color="auto" w:fill="D9D9D9"/>
                  <w:vAlign w:val="center"/>
                </w:tcPr>
                <w:p w14:paraId="4CDD6797" w14:textId="77777777" w:rsidR="002862B1" w:rsidRPr="00E91F01" w:rsidRDefault="007C48F8">
                  <w:pPr>
                    <w:spacing w:after="0" w:line="240" w:lineRule="auto"/>
                    <w:jc w:val="center"/>
                    <w:rPr>
                      <w:rFonts w:ascii="gobCL" w:eastAsia="gobCL" w:hAnsi="gobCL" w:cs="gobCL"/>
                      <w:b/>
                      <w:color w:val="000000"/>
                      <w:sz w:val="18"/>
                      <w:szCs w:val="18"/>
                    </w:rPr>
                  </w:pPr>
                  <w:r w:rsidRPr="00E91F01">
                    <w:rPr>
                      <w:rFonts w:ascii="gobCL" w:eastAsia="gobCL" w:hAnsi="gobCL" w:cs="gobCL"/>
                      <w:b/>
                      <w:color w:val="000000"/>
                      <w:sz w:val="18"/>
                      <w:szCs w:val="18"/>
                    </w:rPr>
                    <w:t>Período de cálculo de ventas</w:t>
                  </w:r>
                </w:p>
              </w:tc>
            </w:tr>
            <w:tr w:rsidR="002862B1" w14:paraId="2025C66B" w14:textId="77777777">
              <w:trPr>
                <w:trHeight w:val="540"/>
              </w:trPr>
              <w:tc>
                <w:tcPr>
                  <w:tcW w:w="1932" w:type="dxa"/>
                  <w:tcBorders>
                    <w:top w:val="nil"/>
                    <w:left w:val="single" w:sz="4" w:space="0" w:color="000000"/>
                    <w:bottom w:val="single" w:sz="4" w:space="0" w:color="000000"/>
                    <w:right w:val="single" w:sz="4" w:space="0" w:color="000000"/>
                  </w:tcBorders>
                  <w:shd w:val="clear" w:color="auto" w:fill="auto"/>
                  <w:vAlign w:val="center"/>
                </w:tcPr>
                <w:p w14:paraId="612A84CD" w14:textId="2F5AEF03" w:rsidR="002862B1" w:rsidRPr="00E91F01" w:rsidRDefault="000618A9">
                  <w:pPr>
                    <w:spacing w:after="0" w:line="240" w:lineRule="auto"/>
                    <w:jc w:val="center"/>
                    <w:rPr>
                      <w:rFonts w:ascii="gobCL" w:eastAsia="gobCL" w:hAnsi="gobCL" w:cs="gobCL"/>
                      <w:color w:val="000000"/>
                      <w:sz w:val="18"/>
                      <w:szCs w:val="18"/>
                    </w:rPr>
                  </w:pPr>
                  <w:r>
                    <w:rPr>
                      <w:rFonts w:ascii="gobCL" w:eastAsia="gobCL" w:hAnsi="gobCL" w:cs="gobCL"/>
                      <w:color w:val="000000"/>
                      <w:sz w:val="18"/>
                      <w:szCs w:val="18"/>
                    </w:rPr>
                    <w:t>Mayo</w:t>
                  </w:r>
                  <w:r w:rsidRPr="00E91F01">
                    <w:rPr>
                      <w:rFonts w:ascii="gobCL" w:eastAsia="gobCL" w:hAnsi="gobCL" w:cs="gobCL"/>
                      <w:color w:val="000000"/>
                      <w:sz w:val="18"/>
                      <w:szCs w:val="18"/>
                    </w:rPr>
                    <w:t xml:space="preserve"> </w:t>
                  </w:r>
                  <w:r w:rsidR="007C48F8" w:rsidRPr="00E91F01">
                    <w:rPr>
                      <w:rFonts w:ascii="gobCL" w:eastAsia="gobCL" w:hAnsi="gobCL" w:cs="gobCL"/>
                      <w:color w:val="000000"/>
                      <w:sz w:val="18"/>
                      <w:szCs w:val="18"/>
                    </w:rPr>
                    <w:t>2020</w:t>
                  </w:r>
                </w:p>
              </w:tc>
              <w:tc>
                <w:tcPr>
                  <w:tcW w:w="2391" w:type="dxa"/>
                  <w:tcBorders>
                    <w:top w:val="nil"/>
                    <w:left w:val="nil"/>
                    <w:bottom w:val="single" w:sz="4" w:space="0" w:color="000000"/>
                    <w:right w:val="single" w:sz="4" w:space="0" w:color="000000"/>
                  </w:tcBorders>
                  <w:shd w:val="clear" w:color="auto" w:fill="auto"/>
                  <w:vAlign w:val="center"/>
                </w:tcPr>
                <w:p w14:paraId="3735A5C8" w14:textId="728573BA" w:rsidR="002862B1" w:rsidRPr="00E91F01" w:rsidRDefault="003F0668">
                  <w:pPr>
                    <w:spacing w:after="0" w:line="240" w:lineRule="auto"/>
                    <w:jc w:val="center"/>
                    <w:rPr>
                      <w:rFonts w:ascii="gobCL" w:eastAsia="gobCL" w:hAnsi="gobCL" w:cs="gobCL"/>
                      <w:color w:val="000000"/>
                      <w:sz w:val="18"/>
                      <w:szCs w:val="18"/>
                    </w:rPr>
                  </w:pPr>
                  <w:r>
                    <w:rPr>
                      <w:rFonts w:ascii="gobCL" w:eastAsia="gobCL" w:hAnsi="gobCL" w:cs="gobCL"/>
                      <w:sz w:val="18"/>
                      <w:szCs w:val="18"/>
                    </w:rPr>
                    <w:t>Abril</w:t>
                  </w:r>
                  <w:r w:rsidR="000618A9" w:rsidRPr="00E91F01">
                    <w:rPr>
                      <w:rFonts w:ascii="gobCL" w:eastAsia="gobCL" w:hAnsi="gobCL" w:cs="gobCL"/>
                      <w:color w:val="000000"/>
                      <w:sz w:val="18"/>
                      <w:szCs w:val="18"/>
                    </w:rPr>
                    <w:t xml:space="preserve"> </w:t>
                  </w:r>
                  <w:r w:rsidR="007C48F8" w:rsidRPr="00E91F01">
                    <w:rPr>
                      <w:rFonts w:ascii="gobCL" w:eastAsia="gobCL" w:hAnsi="gobCL" w:cs="gobCL"/>
                      <w:color w:val="000000"/>
                      <w:sz w:val="18"/>
                      <w:szCs w:val="18"/>
                    </w:rPr>
                    <w:t xml:space="preserve">2019 -  </w:t>
                  </w:r>
                  <w:r>
                    <w:rPr>
                      <w:rFonts w:ascii="gobCL" w:eastAsia="gobCL" w:hAnsi="gobCL" w:cs="gobCL"/>
                      <w:color w:val="000000"/>
                      <w:sz w:val="18"/>
                      <w:szCs w:val="18"/>
                    </w:rPr>
                    <w:t>Marzo</w:t>
                  </w:r>
                  <w:r w:rsidR="007C48F8" w:rsidRPr="00E91F01">
                    <w:rPr>
                      <w:rFonts w:ascii="gobCL" w:eastAsia="gobCL" w:hAnsi="gobCL" w:cs="gobCL"/>
                      <w:color w:val="000000"/>
                      <w:sz w:val="18"/>
                      <w:szCs w:val="18"/>
                    </w:rPr>
                    <w:t xml:space="preserve"> 2020</w:t>
                  </w:r>
                </w:p>
              </w:tc>
            </w:tr>
          </w:tbl>
          <w:p w14:paraId="6439CBC3" w14:textId="77777777" w:rsidR="002862B1" w:rsidRPr="00B2442B" w:rsidRDefault="007C48F8">
            <w:pPr>
              <w:jc w:val="both"/>
              <w:rPr>
                <w:rFonts w:ascii="gobCL" w:eastAsia="gobCL" w:hAnsi="gobCL" w:cs="gobCL"/>
              </w:rPr>
            </w:pPr>
            <w:r w:rsidRPr="00B2442B">
              <w:rPr>
                <w:rFonts w:ascii="gobCL" w:eastAsia="gobCL" w:hAnsi="gobCL" w:cs="gobCL"/>
              </w:rPr>
              <w:t xml:space="preserve">Para el cálculo de ventas se consideran los códigos 538, 020 y 142 de los respectivos Formularios N°29. </w:t>
            </w:r>
          </w:p>
          <w:p w14:paraId="184AF054" w14:textId="2E7F21B6" w:rsidR="002862B1" w:rsidRDefault="007C48F8">
            <w:pPr>
              <w:jc w:val="both"/>
              <w:rPr>
                <w:rFonts w:ascii="gobCL" w:eastAsia="gobCL" w:hAnsi="gobCL" w:cs="gobCL"/>
              </w:rPr>
            </w:pPr>
            <w:r w:rsidRPr="00B2442B">
              <w:rPr>
                <w:rFonts w:ascii="gobCL" w:eastAsia="gobCL" w:hAnsi="gobCL" w:cs="gobCL"/>
              </w:rPr>
              <w:t xml:space="preserve">Para el caso de las empresas con iniciación de actividades posterior a </w:t>
            </w:r>
            <w:r w:rsidR="003F0668">
              <w:rPr>
                <w:rFonts w:ascii="gobCL" w:eastAsia="gobCL" w:hAnsi="gobCL" w:cs="gobCL"/>
              </w:rPr>
              <w:t>Abril</w:t>
            </w:r>
            <w:r w:rsidR="000618A9" w:rsidRPr="00B2442B">
              <w:rPr>
                <w:rFonts w:ascii="gobCL" w:eastAsia="gobCL" w:hAnsi="gobCL" w:cs="gobCL"/>
              </w:rPr>
              <w:t xml:space="preserve"> </w:t>
            </w:r>
            <w:r w:rsidRPr="00B2442B">
              <w:rPr>
                <w:rFonts w:ascii="gobCL" w:eastAsia="gobCL" w:hAnsi="gobCL" w:cs="gobCL"/>
              </w:rPr>
              <w:t xml:space="preserve">de 2019, el cálculo de ventas se hará a partir del mes de inicio de actividades hasta el mes de </w:t>
            </w:r>
            <w:r w:rsidR="006A4FB0">
              <w:rPr>
                <w:rFonts w:ascii="gobCL" w:eastAsia="gobCL" w:hAnsi="gobCL" w:cs="gobCL"/>
              </w:rPr>
              <w:t>m</w:t>
            </w:r>
            <w:r w:rsidR="003F0668">
              <w:rPr>
                <w:rFonts w:ascii="gobCL" w:eastAsia="gobCL" w:hAnsi="gobCL" w:cs="gobCL"/>
              </w:rPr>
              <w:t>arzo</w:t>
            </w:r>
            <w:r w:rsidR="000618A9" w:rsidRPr="00B2442B">
              <w:rPr>
                <w:rFonts w:ascii="gobCL" w:eastAsia="gobCL" w:hAnsi="gobCL" w:cs="gobCL"/>
              </w:rPr>
              <w:t xml:space="preserve"> </w:t>
            </w:r>
            <w:r w:rsidRPr="00B2442B">
              <w:rPr>
                <w:rFonts w:ascii="gobCL" w:eastAsia="gobCL" w:hAnsi="gobCL" w:cs="gobCL"/>
              </w:rPr>
              <w:t>de 2020, las que deberán ser inferiores o iguales a 25.000 UF</w:t>
            </w:r>
          </w:p>
        </w:tc>
        <w:tc>
          <w:tcPr>
            <w:tcW w:w="4297" w:type="dxa"/>
            <w:tcBorders>
              <w:top w:val="single" w:sz="4" w:space="0" w:color="000000"/>
              <w:left w:val="single" w:sz="4" w:space="0" w:color="000000"/>
              <w:bottom w:val="single" w:sz="4" w:space="0" w:color="000000"/>
              <w:right w:val="single" w:sz="4" w:space="0" w:color="000000"/>
            </w:tcBorders>
          </w:tcPr>
          <w:p w14:paraId="0DF27CFE" w14:textId="77777777" w:rsidR="002862B1" w:rsidRDefault="007C48F8">
            <w:pPr>
              <w:pBdr>
                <w:top w:val="nil"/>
                <w:left w:val="nil"/>
                <w:bottom w:val="nil"/>
                <w:right w:val="nil"/>
                <w:between w:val="nil"/>
              </w:pBdr>
              <w:jc w:val="both"/>
              <w:rPr>
                <w:rFonts w:ascii="gobCL" w:eastAsia="gobCL" w:hAnsi="gobCL" w:cs="gobCL"/>
                <w:color w:val="000000"/>
              </w:rPr>
            </w:pPr>
            <w:r>
              <w:rPr>
                <w:rFonts w:ascii="gobCL" w:eastAsia="gobCL" w:hAnsi="gobCL" w:cs="gobCL"/>
                <w:color w:val="000000"/>
              </w:rPr>
              <w:t xml:space="preserve">Carpeta Tributaria Electrónica completa para Solicitar Créditos disponible en </w:t>
            </w:r>
            <w:hyperlink r:id="rId14">
              <w:r>
                <w:rPr>
                  <w:rFonts w:ascii="gobCL" w:eastAsia="gobCL" w:hAnsi="gobCL" w:cs="gobCL"/>
                  <w:color w:val="0563C1"/>
                  <w:u w:val="single"/>
                </w:rPr>
                <w:t>https://zeus.sii.cl/dii_doc/carpeta-tributaria/html/index.htm</w:t>
              </w:r>
            </w:hyperlink>
            <w:r>
              <w:rPr>
                <w:rFonts w:ascii="gobCL" w:eastAsia="gobCL" w:hAnsi="gobCL" w:cs="gobCL"/>
                <w:color w:val="000000"/>
              </w:rPr>
              <w:t xml:space="preserve">  </w:t>
            </w:r>
          </w:p>
          <w:p w14:paraId="2AB1D1C6" w14:textId="77777777" w:rsidR="002862B1" w:rsidRDefault="002862B1">
            <w:pPr>
              <w:jc w:val="both"/>
              <w:rPr>
                <w:rFonts w:ascii="gobCL" w:eastAsia="gobCL" w:hAnsi="gobCL" w:cs="gobCL"/>
              </w:rPr>
            </w:pPr>
          </w:p>
        </w:tc>
      </w:tr>
      <w:tr w:rsidR="002862B1"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037E95AD" w14:textId="0866F8F9" w:rsidR="002862B1" w:rsidRPr="00B2442B" w:rsidRDefault="007C48F8">
            <w:pPr>
              <w:pBdr>
                <w:top w:val="nil"/>
                <w:left w:val="nil"/>
                <w:bottom w:val="nil"/>
                <w:right w:val="nil"/>
                <w:between w:val="nil"/>
              </w:pBdr>
              <w:spacing w:line="276" w:lineRule="auto"/>
              <w:jc w:val="both"/>
              <w:rPr>
                <w:rFonts w:ascii="gobCL" w:eastAsia="gobCL" w:hAnsi="gobCL" w:cs="gobCL"/>
                <w:color w:val="000000"/>
              </w:rPr>
            </w:pPr>
            <w:r w:rsidRPr="00B2442B">
              <w:rPr>
                <w:rFonts w:ascii="gobCL" w:eastAsia="gobCL" w:hAnsi="gobCL" w:cs="gobCL"/>
              </w:rPr>
              <w:t xml:space="preserve">Contar </w:t>
            </w:r>
            <w:r w:rsidRPr="00B2442B">
              <w:rPr>
                <w:rFonts w:ascii="gobCL" w:eastAsia="gobCL" w:hAnsi="gobCL" w:cs="gobCL"/>
                <w:color w:val="000000"/>
              </w:rPr>
              <w:t xml:space="preserve">con, al menos, una disminución de ventas de un </w:t>
            </w:r>
            <w:r w:rsidR="003A0EDB">
              <w:rPr>
                <w:rFonts w:ascii="gobCL" w:eastAsia="gobCL" w:hAnsi="gobCL" w:cs="gobCL"/>
                <w:color w:val="000000"/>
              </w:rPr>
              <w:t>2</w:t>
            </w:r>
            <w:r w:rsidRPr="00B2442B">
              <w:rPr>
                <w:rFonts w:ascii="gobCL" w:eastAsia="gobCL" w:hAnsi="gobCL" w:cs="gobCL"/>
                <w:color w:val="000000"/>
              </w:rPr>
              <w:t>0%</w:t>
            </w:r>
            <w:r w:rsidRPr="00B2442B">
              <w:rPr>
                <w:rFonts w:ascii="gobCL" w:eastAsia="gobCL" w:hAnsi="gobCL" w:cs="gobCL"/>
                <w:b/>
                <w:color w:val="000000"/>
              </w:rPr>
              <w:t>,</w:t>
            </w:r>
            <w:r w:rsidRPr="00B2442B">
              <w:rPr>
                <w:rFonts w:ascii="gobCL" w:eastAsia="gobCL" w:hAnsi="gobCL" w:cs="gobCL"/>
                <w:color w:val="000000"/>
              </w:rPr>
              <w:t xml:space="preserve"> comparando el promedio de ventas del período 1 </w:t>
            </w:r>
            <w:r w:rsidRPr="00B2442B">
              <w:rPr>
                <w:rFonts w:ascii="gobCL" w:eastAsia="gobCL" w:hAnsi="gobCL" w:cs="gobCL"/>
              </w:rPr>
              <w:t>(</w:t>
            </w:r>
            <w:r w:rsidR="006A4FB0">
              <w:rPr>
                <w:rFonts w:ascii="gobCL" w:eastAsia="gobCL" w:hAnsi="gobCL" w:cs="gobCL"/>
              </w:rPr>
              <w:t>o</w:t>
            </w:r>
            <w:r w:rsidR="003F0668">
              <w:rPr>
                <w:rFonts w:ascii="gobCL" w:eastAsia="gobCL" w:hAnsi="gobCL" w:cs="gobCL"/>
              </w:rPr>
              <w:t>ctubre</w:t>
            </w:r>
            <w:r w:rsidR="000618A9" w:rsidRPr="00B2442B">
              <w:rPr>
                <w:rFonts w:ascii="gobCL" w:eastAsia="gobCL" w:hAnsi="gobCL" w:cs="gobCL"/>
                <w:color w:val="000000"/>
              </w:rPr>
              <w:t xml:space="preserve"> </w:t>
            </w:r>
            <w:r w:rsidRPr="00B2442B">
              <w:rPr>
                <w:rFonts w:ascii="gobCL" w:eastAsia="gobCL" w:hAnsi="gobCL" w:cs="gobCL"/>
                <w:color w:val="000000"/>
              </w:rPr>
              <w:t xml:space="preserve">2018– </w:t>
            </w:r>
            <w:r w:rsidR="006A4FB0">
              <w:rPr>
                <w:rFonts w:ascii="gobCL" w:eastAsia="gobCL" w:hAnsi="gobCL" w:cs="gobCL"/>
              </w:rPr>
              <w:t>m</w:t>
            </w:r>
            <w:r w:rsidR="003F0668">
              <w:rPr>
                <w:rFonts w:ascii="gobCL" w:eastAsia="gobCL" w:hAnsi="gobCL" w:cs="gobCL"/>
              </w:rPr>
              <w:t>arzo</w:t>
            </w:r>
            <w:r w:rsidRPr="00B2442B">
              <w:rPr>
                <w:rFonts w:ascii="gobCL" w:eastAsia="gobCL" w:hAnsi="gobCL" w:cs="gobCL"/>
                <w:color w:val="000000"/>
              </w:rPr>
              <w:t xml:space="preserve"> 2019) con el periodo 2 (</w:t>
            </w:r>
            <w:r w:rsidR="006A4FB0">
              <w:rPr>
                <w:rFonts w:ascii="gobCL" w:eastAsia="gobCL" w:hAnsi="gobCL" w:cs="gobCL"/>
              </w:rPr>
              <w:t>o</w:t>
            </w:r>
            <w:r w:rsidR="003F0668">
              <w:rPr>
                <w:rFonts w:ascii="gobCL" w:eastAsia="gobCL" w:hAnsi="gobCL" w:cs="gobCL"/>
              </w:rPr>
              <w:t>ctubre</w:t>
            </w:r>
            <w:r w:rsidRPr="00B2442B">
              <w:rPr>
                <w:rFonts w:ascii="gobCL" w:eastAsia="gobCL" w:hAnsi="gobCL" w:cs="gobCL"/>
              </w:rPr>
              <w:t xml:space="preserve"> 2019 – </w:t>
            </w:r>
            <w:r w:rsidR="006A4FB0">
              <w:rPr>
                <w:rFonts w:ascii="gobCL" w:eastAsia="gobCL" w:hAnsi="gobCL" w:cs="gobCL"/>
              </w:rPr>
              <w:t>m</w:t>
            </w:r>
            <w:r w:rsidR="003F0668">
              <w:rPr>
                <w:rFonts w:ascii="gobCL" w:eastAsia="gobCL" w:hAnsi="gobCL" w:cs="gobCL"/>
              </w:rPr>
              <w:t>arzo</w:t>
            </w:r>
            <w:r w:rsidRPr="00B2442B">
              <w:rPr>
                <w:rFonts w:ascii="gobCL" w:eastAsia="gobCL" w:hAnsi="gobCL" w:cs="gobCL"/>
              </w:rPr>
              <w:t xml:space="preserve"> 2020</w:t>
            </w:r>
            <w:r w:rsidRPr="00B2442B">
              <w:rPr>
                <w:rFonts w:ascii="gobCL" w:eastAsia="gobCL" w:hAnsi="gobCL" w:cs="gobCL"/>
                <w:color w:val="000000"/>
              </w:rPr>
              <w:t>).</w:t>
            </w:r>
          </w:p>
          <w:p w14:paraId="2A40BFD4" w14:textId="2CD91509" w:rsidR="002862B1" w:rsidRPr="00B2442B" w:rsidRDefault="007C48F8">
            <w:pPr>
              <w:pBdr>
                <w:top w:val="nil"/>
                <w:left w:val="nil"/>
                <w:bottom w:val="nil"/>
                <w:right w:val="nil"/>
                <w:between w:val="nil"/>
              </w:pBdr>
              <w:spacing w:line="276" w:lineRule="auto"/>
              <w:jc w:val="both"/>
              <w:rPr>
                <w:rFonts w:ascii="gobCL" w:eastAsia="gobCL" w:hAnsi="gobCL" w:cs="gobCL"/>
                <w:color w:val="000000"/>
              </w:rPr>
            </w:pPr>
            <w:r w:rsidRPr="00B2442B">
              <w:rPr>
                <w:rFonts w:ascii="gobCL" w:eastAsia="gobCL" w:hAnsi="gobCL" w:cs="gobCL"/>
                <w:color w:val="000000"/>
              </w:rPr>
              <w:t xml:space="preserve">Para las empresas que iniciaron actividades a partir de </w:t>
            </w:r>
            <w:r w:rsidR="006A4FB0">
              <w:rPr>
                <w:rFonts w:ascii="gobCL" w:eastAsia="gobCL" w:hAnsi="gobCL" w:cs="gobCL"/>
              </w:rPr>
              <w:t>n</w:t>
            </w:r>
            <w:r w:rsidR="00FF3BF9">
              <w:rPr>
                <w:rFonts w:ascii="gobCL" w:eastAsia="gobCL" w:hAnsi="gobCL" w:cs="gobCL"/>
              </w:rPr>
              <w:t>oviembre de 2018</w:t>
            </w:r>
            <w:r w:rsidRPr="00B2442B">
              <w:rPr>
                <w:rFonts w:ascii="gobCL" w:eastAsia="gobCL" w:hAnsi="gobCL" w:cs="gobCL"/>
                <w:color w:val="000000"/>
              </w:rPr>
              <w:t>, se utilizará los siguientes periodos:</w:t>
            </w:r>
          </w:p>
          <w:p w14:paraId="110BF868" w14:textId="716A2D8A" w:rsidR="002862B1" w:rsidRPr="00B2442B" w:rsidRDefault="007C48F8">
            <w:pPr>
              <w:pBdr>
                <w:top w:val="nil"/>
                <w:left w:val="nil"/>
                <w:bottom w:val="nil"/>
                <w:right w:val="nil"/>
                <w:between w:val="nil"/>
              </w:pBdr>
              <w:spacing w:line="276" w:lineRule="auto"/>
              <w:jc w:val="both"/>
              <w:rPr>
                <w:rFonts w:ascii="gobCL" w:eastAsia="gobCL" w:hAnsi="gobCL" w:cs="gobCL"/>
              </w:rPr>
            </w:pPr>
            <w:r w:rsidRPr="00B2442B">
              <w:rPr>
                <w:rFonts w:ascii="gobCL" w:eastAsia="gobCL" w:hAnsi="gobCL" w:cs="gobCL"/>
                <w:color w:val="000000"/>
              </w:rPr>
              <w:lastRenderedPageBreak/>
              <w:t xml:space="preserve">Contar con, al menos, una disminución de ventas de un </w:t>
            </w:r>
            <w:r w:rsidR="003A0EDB">
              <w:rPr>
                <w:rFonts w:ascii="gobCL" w:eastAsia="gobCL" w:hAnsi="gobCL" w:cs="gobCL"/>
                <w:color w:val="000000"/>
              </w:rPr>
              <w:t>2</w:t>
            </w:r>
            <w:r w:rsidRPr="00B2442B">
              <w:rPr>
                <w:rFonts w:ascii="gobCL" w:eastAsia="gobCL" w:hAnsi="gobCL" w:cs="gobCL"/>
                <w:color w:val="000000"/>
              </w:rPr>
              <w:t>0%</w:t>
            </w:r>
            <w:r w:rsidRPr="00B2442B">
              <w:rPr>
                <w:rFonts w:ascii="gobCL" w:eastAsia="gobCL" w:hAnsi="gobCL" w:cs="gobCL"/>
                <w:b/>
                <w:color w:val="000000"/>
              </w:rPr>
              <w:t>,</w:t>
            </w:r>
            <w:r w:rsidRPr="00B2442B">
              <w:rPr>
                <w:rFonts w:ascii="gobCL" w:eastAsia="gobCL" w:hAnsi="gobCL" w:cs="gobCL"/>
                <w:color w:val="000000"/>
              </w:rPr>
              <w:t xml:space="preserve"> comparando </w:t>
            </w:r>
            <w:r w:rsidRPr="00B2442B">
              <w:rPr>
                <w:rFonts w:ascii="gobCL" w:eastAsia="gobCL" w:hAnsi="gobCL" w:cs="gobCL"/>
              </w:rPr>
              <w:t>el</w:t>
            </w:r>
            <w:r w:rsidRPr="00B2442B">
              <w:rPr>
                <w:rFonts w:ascii="gobCL" w:eastAsia="gobCL" w:hAnsi="gobCL" w:cs="gobCL"/>
                <w:color w:val="000000"/>
              </w:rPr>
              <w:t xml:space="preserve"> </w:t>
            </w:r>
            <w:r w:rsidRPr="00B2442B">
              <w:rPr>
                <w:rFonts w:ascii="gobCL" w:eastAsia="gobCL" w:hAnsi="gobCL" w:cs="gobCL"/>
              </w:rPr>
              <w:t>promedio de ventas del período 1 (</w:t>
            </w:r>
            <w:r w:rsidR="006A4FB0">
              <w:rPr>
                <w:rFonts w:ascii="gobCL" w:eastAsia="gobCL" w:hAnsi="gobCL" w:cs="gobCL"/>
              </w:rPr>
              <w:t>o</w:t>
            </w:r>
            <w:r w:rsidR="003F0668">
              <w:rPr>
                <w:rFonts w:ascii="gobCL" w:eastAsia="gobCL" w:hAnsi="gobCL" w:cs="gobCL"/>
              </w:rPr>
              <w:t>ctubre</w:t>
            </w:r>
            <w:r w:rsidR="000618A9" w:rsidRPr="00B2442B">
              <w:rPr>
                <w:rFonts w:ascii="gobCL" w:eastAsia="gobCL" w:hAnsi="gobCL" w:cs="gobCL"/>
              </w:rPr>
              <w:t xml:space="preserve"> </w:t>
            </w:r>
            <w:r w:rsidR="00C33797" w:rsidRPr="00B2442B">
              <w:rPr>
                <w:rFonts w:ascii="gobCL" w:eastAsia="gobCL" w:hAnsi="gobCL" w:cs="gobCL"/>
              </w:rPr>
              <w:t>2019</w:t>
            </w:r>
            <w:r w:rsidRPr="00B2442B">
              <w:rPr>
                <w:rFonts w:ascii="gobCL" w:eastAsia="gobCL" w:hAnsi="gobCL" w:cs="gobCL"/>
              </w:rPr>
              <w:t xml:space="preserve"> </w:t>
            </w:r>
            <w:r w:rsidR="003F0668">
              <w:rPr>
                <w:rFonts w:ascii="gobCL" w:eastAsia="gobCL" w:hAnsi="gobCL" w:cs="gobCL"/>
              </w:rPr>
              <w:t>–</w:t>
            </w:r>
            <w:r w:rsidRPr="00B2442B">
              <w:rPr>
                <w:rFonts w:ascii="gobCL" w:eastAsia="gobCL" w:hAnsi="gobCL" w:cs="gobCL"/>
              </w:rPr>
              <w:t xml:space="preserve"> </w:t>
            </w:r>
            <w:r w:rsidR="006A4FB0">
              <w:rPr>
                <w:rFonts w:ascii="gobCL" w:eastAsia="gobCL" w:hAnsi="gobCL" w:cs="gobCL"/>
              </w:rPr>
              <w:t>d</w:t>
            </w:r>
            <w:r w:rsidR="003F0668">
              <w:rPr>
                <w:rFonts w:ascii="gobCL" w:eastAsia="gobCL" w:hAnsi="gobCL" w:cs="gobCL"/>
              </w:rPr>
              <w:t>iciembre 2019</w:t>
            </w:r>
            <w:r w:rsidRPr="00B2442B">
              <w:rPr>
                <w:rFonts w:ascii="gobCL" w:eastAsia="gobCL" w:hAnsi="gobCL" w:cs="gobCL"/>
              </w:rPr>
              <w:t>) promedio de ventas del período 2 (</w:t>
            </w:r>
            <w:r w:rsidR="006A4FB0">
              <w:rPr>
                <w:rFonts w:ascii="gobCL" w:eastAsia="gobCL" w:hAnsi="gobCL" w:cs="gobCL"/>
              </w:rPr>
              <w:t>e</w:t>
            </w:r>
            <w:r w:rsidR="003F0668">
              <w:rPr>
                <w:rFonts w:ascii="gobCL" w:eastAsia="gobCL" w:hAnsi="gobCL" w:cs="gobCL"/>
              </w:rPr>
              <w:t>nero</w:t>
            </w:r>
            <w:r w:rsidR="00C33797" w:rsidRPr="00B2442B">
              <w:rPr>
                <w:rFonts w:ascii="gobCL" w:eastAsia="gobCL" w:hAnsi="gobCL" w:cs="gobCL"/>
              </w:rPr>
              <w:t xml:space="preserve"> 2020 </w:t>
            </w:r>
            <w:r w:rsidRPr="00B2442B">
              <w:rPr>
                <w:rFonts w:ascii="gobCL" w:eastAsia="gobCL" w:hAnsi="gobCL" w:cs="gobCL"/>
              </w:rPr>
              <w:t>-</w:t>
            </w:r>
            <w:r w:rsidR="00C33797" w:rsidRPr="00B2442B">
              <w:rPr>
                <w:rFonts w:ascii="gobCL" w:eastAsia="gobCL" w:hAnsi="gobCL" w:cs="gobCL"/>
              </w:rPr>
              <w:t xml:space="preserve"> </w:t>
            </w:r>
            <w:r w:rsidR="006A4FB0">
              <w:rPr>
                <w:rFonts w:ascii="gobCL" w:eastAsia="gobCL" w:hAnsi="gobCL" w:cs="gobCL"/>
              </w:rPr>
              <w:t>m</w:t>
            </w:r>
            <w:r w:rsidR="003F0668">
              <w:rPr>
                <w:rFonts w:ascii="gobCL" w:eastAsia="gobCL" w:hAnsi="gobCL" w:cs="gobCL"/>
              </w:rPr>
              <w:t>arzo</w:t>
            </w:r>
            <w:r w:rsidRPr="00B2442B">
              <w:rPr>
                <w:rFonts w:ascii="gobCL" w:eastAsia="gobCL" w:hAnsi="gobCL" w:cs="gobCL"/>
              </w:rPr>
              <w:t xml:space="preserve"> 2020).</w:t>
            </w:r>
          </w:p>
          <w:p w14:paraId="1345748E" w14:textId="77777777" w:rsidR="002862B1" w:rsidRDefault="002862B1">
            <w:pPr>
              <w:pBdr>
                <w:top w:val="nil"/>
                <w:left w:val="nil"/>
                <w:bottom w:val="nil"/>
                <w:right w:val="nil"/>
                <w:between w:val="nil"/>
              </w:pBdr>
              <w:spacing w:line="276" w:lineRule="auto"/>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6A952158" w14:textId="77777777" w:rsidR="002862B1" w:rsidRDefault="007C48F8">
            <w:pPr>
              <w:keepNext/>
              <w:keepLines/>
              <w:pBdr>
                <w:top w:val="nil"/>
                <w:left w:val="nil"/>
                <w:bottom w:val="nil"/>
                <w:right w:val="nil"/>
                <w:between w:val="nil"/>
              </w:pBdr>
              <w:spacing w:before="40"/>
              <w:jc w:val="both"/>
              <w:rPr>
                <w:rFonts w:ascii="gobCL" w:eastAsia="gobCL" w:hAnsi="gobCL" w:cs="gobCL"/>
                <w:color w:val="000000"/>
              </w:rPr>
            </w:pPr>
            <w:r>
              <w:rPr>
                <w:rFonts w:ascii="gobCL" w:eastAsia="gobCL" w:hAnsi="gobCL" w:cs="gobCL"/>
                <w:color w:val="000000"/>
              </w:rPr>
              <w:lastRenderedPageBreak/>
              <w:t xml:space="preserve">Carpeta Tributaria Electrónica completa para Solicitar Créditos disponible en </w:t>
            </w:r>
            <w:hyperlink r:id="rId15">
              <w:r>
                <w:rPr>
                  <w:rFonts w:ascii="gobCL" w:eastAsia="gobCL" w:hAnsi="gobCL" w:cs="gobCL"/>
                  <w:color w:val="0563C1"/>
                  <w:u w:val="single"/>
                </w:rPr>
                <w:t>https://zeus.sii.cl/dii_doc/carpeta-tributaria/html/index.htm</w:t>
              </w:r>
            </w:hyperlink>
            <w:r>
              <w:rPr>
                <w:rFonts w:ascii="gobCL" w:eastAsia="gobCL" w:hAnsi="gobCL" w:cs="gobCL"/>
                <w:color w:val="000000"/>
              </w:rPr>
              <w:t xml:space="preserve">  </w:t>
            </w:r>
          </w:p>
        </w:tc>
      </w:tr>
      <w:tr w:rsidR="002862B1" w14:paraId="0EDEF877" w14:textId="77777777">
        <w:tc>
          <w:tcPr>
            <w:tcW w:w="4531" w:type="dxa"/>
            <w:tcBorders>
              <w:top w:val="single" w:sz="4" w:space="0" w:color="000000"/>
              <w:left w:val="single" w:sz="4" w:space="0" w:color="000000"/>
              <w:bottom w:val="single" w:sz="4" w:space="0" w:color="000000"/>
              <w:right w:val="single" w:sz="4" w:space="0" w:color="000000"/>
            </w:tcBorders>
          </w:tcPr>
          <w:p w14:paraId="3D2C5E24" w14:textId="07B1FCB2" w:rsidR="002862B1" w:rsidRDefault="007C48F8">
            <w:pPr>
              <w:jc w:val="both"/>
              <w:rPr>
                <w:rFonts w:ascii="gobCL" w:eastAsia="gobCL" w:hAnsi="gobCL" w:cs="gobCL"/>
                <w:highlight w:val="yellow"/>
              </w:rPr>
            </w:pPr>
            <w:r w:rsidRPr="00B2442B">
              <w:rPr>
                <w:rFonts w:ascii="gobCL" w:eastAsia="gobCL" w:hAnsi="gobCL" w:cs="gobCL"/>
              </w:rPr>
              <w:t xml:space="preserve">Debe tener iniciación de actividades </w:t>
            </w:r>
            <w:r w:rsidR="00844188">
              <w:rPr>
                <w:rFonts w:ascii="gobCL" w:eastAsia="gobCL" w:hAnsi="gobCL" w:cs="gobCL"/>
              </w:rPr>
              <w:t>hasta</w:t>
            </w:r>
            <w:r w:rsidRPr="00B2442B">
              <w:rPr>
                <w:rFonts w:ascii="gobCL" w:eastAsia="gobCL" w:hAnsi="gobCL" w:cs="gobCL"/>
              </w:rPr>
              <w:t xml:space="preserve"> </w:t>
            </w:r>
            <w:r w:rsidR="006A4FB0">
              <w:rPr>
                <w:rFonts w:ascii="gobCL" w:eastAsia="gobCL" w:hAnsi="gobCL" w:cs="gobCL"/>
              </w:rPr>
              <w:t>o</w:t>
            </w:r>
            <w:r w:rsidR="00AC71C6">
              <w:rPr>
                <w:rFonts w:ascii="gobCL" w:eastAsia="gobCL" w:hAnsi="gobCL" w:cs="gobCL"/>
              </w:rPr>
              <w:t>ctubre</w:t>
            </w:r>
            <w:r w:rsidRPr="00B2442B">
              <w:rPr>
                <w:rFonts w:ascii="gobCL" w:eastAsia="gobCL" w:hAnsi="gobCL" w:cs="gobCL"/>
              </w:rPr>
              <w:t xml:space="preserve"> de 2019.</w:t>
            </w:r>
          </w:p>
        </w:tc>
        <w:tc>
          <w:tcPr>
            <w:tcW w:w="4297" w:type="dxa"/>
            <w:tcBorders>
              <w:top w:val="single" w:sz="4" w:space="0" w:color="000000"/>
              <w:left w:val="single" w:sz="4" w:space="0" w:color="000000"/>
              <w:bottom w:val="single" w:sz="4" w:space="0" w:color="000000"/>
              <w:right w:val="single" w:sz="4" w:space="0" w:color="000000"/>
            </w:tcBorders>
          </w:tcPr>
          <w:p w14:paraId="6A245508" w14:textId="34EE9248" w:rsidR="002862B1" w:rsidRDefault="007C48F8">
            <w:pPr>
              <w:keepNext/>
              <w:keepLines/>
              <w:pBdr>
                <w:top w:val="nil"/>
                <w:left w:val="nil"/>
                <w:bottom w:val="nil"/>
                <w:right w:val="nil"/>
                <w:between w:val="nil"/>
              </w:pBdr>
              <w:spacing w:before="40"/>
              <w:ind w:hanging="720"/>
              <w:jc w:val="both"/>
              <w:rPr>
                <w:rFonts w:ascii="gobCL" w:eastAsia="gobCL" w:hAnsi="gobCL" w:cs="gobCL"/>
                <w:color w:val="000000"/>
              </w:rPr>
            </w:pPr>
            <w:r>
              <w:rPr>
                <w:rFonts w:ascii="gobCL" w:eastAsia="gobCL" w:hAnsi="gobCL" w:cs="gobCL"/>
                <w:color w:val="000000"/>
              </w:rPr>
              <w:t xml:space="preserve">       </w:t>
            </w:r>
            <w:r w:rsidR="00A37DE7">
              <w:rPr>
                <w:rFonts w:ascii="gobCL" w:eastAsia="gobCL" w:hAnsi="gobCL" w:cs="gobCL"/>
                <w:color w:val="000000"/>
              </w:rPr>
              <w:t>Ca  Carpeta</w:t>
            </w:r>
            <w:r>
              <w:rPr>
                <w:rFonts w:ascii="gobCL" w:eastAsia="gobCL" w:hAnsi="gobCL" w:cs="gobCL"/>
                <w:color w:val="000000"/>
              </w:rPr>
              <w:t xml:space="preserve"> Tributaria Electrónica completa para Solicitar Créditos disponible en https://zeus.sii.cl/dii_doc/carpeta-tributaria/html/index.htm  </w:t>
            </w:r>
          </w:p>
        </w:tc>
      </w:tr>
      <w:tr w:rsidR="002862B1" w14:paraId="0A52E554" w14:textId="77777777">
        <w:tc>
          <w:tcPr>
            <w:tcW w:w="4531" w:type="dxa"/>
            <w:tcBorders>
              <w:top w:val="single" w:sz="4" w:space="0" w:color="000000"/>
              <w:left w:val="single" w:sz="4" w:space="0" w:color="000000"/>
              <w:bottom w:val="single" w:sz="4" w:space="0" w:color="000000"/>
              <w:right w:val="single" w:sz="4" w:space="0" w:color="000000"/>
            </w:tcBorders>
          </w:tcPr>
          <w:p w14:paraId="1AEE9791" w14:textId="77777777" w:rsidR="002862B1" w:rsidRDefault="007C48F8">
            <w:pPr>
              <w:jc w:val="both"/>
              <w:rPr>
                <w:rFonts w:ascii="gobCL" w:eastAsia="gobCL" w:hAnsi="gobCL" w:cs="gobCL"/>
              </w:rPr>
            </w:pPr>
            <w:r>
              <w:rPr>
                <w:rFonts w:ascii="gobCL" w:eastAsia="gobCL" w:hAnsi="gobCL" w:cs="gobCL"/>
              </w:rPr>
              <w:t>Tener domicilio comercial en la región de la presente convocatoria.</w:t>
            </w:r>
          </w:p>
        </w:tc>
        <w:tc>
          <w:tcPr>
            <w:tcW w:w="4297" w:type="dxa"/>
            <w:tcBorders>
              <w:top w:val="single" w:sz="4" w:space="0" w:color="000000"/>
              <w:left w:val="single" w:sz="4" w:space="0" w:color="000000"/>
              <w:bottom w:val="single" w:sz="4" w:space="0" w:color="000000"/>
              <w:right w:val="single" w:sz="4" w:space="0" w:color="000000"/>
            </w:tcBorders>
          </w:tcPr>
          <w:p w14:paraId="4E396134" w14:textId="77777777" w:rsidR="002862B1" w:rsidRDefault="007C48F8">
            <w:pPr>
              <w:keepNext/>
              <w:keepLines/>
              <w:pBdr>
                <w:top w:val="nil"/>
                <w:left w:val="nil"/>
                <w:bottom w:val="nil"/>
                <w:right w:val="nil"/>
                <w:between w:val="nil"/>
              </w:pBdr>
              <w:spacing w:before="40"/>
              <w:jc w:val="both"/>
              <w:rPr>
                <w:rFonts w:ascii="gobCL" w:eastAsia="gobCL" w:hAnsi="gobCL" w:cs="gobCL"/>
                <w:color w:val="000000"/>
              </w:rPr>
            </w:pPr>
            <w:r>
              <w:rPr>
                <w:rFonts w:ascii="gobCL" w:eastAsia="gobCL" w:hAnsi="gobCL" w:cs="gobCL"/>
                <w:color w:val="000000"/>
              </w:rPr>
              <w:t>Carpet</w:t>
            </w:r>
            <w:r>
              <w:rPr>
                <w:rFonts w:ascii="gobCL" w:eastAsia="gobCL" w:hAnsi="gobCL" w:cs="gobCL"/>
              </w:rPr>
              <w:t xml:space="preserve">a </w:t>
            </w:r>
            <w:r>
              <w:rPr>
                <w:rFonts w:ascii="gobCL" w:eastAsia="gobCL" w:hAnsi="gobCL" w:cs="gobCL"/>
                <w:color w:val="000000"/>
              </w:rPr>
              <w:t xml:space="preserve">Tributaria Electrónica completa para Solicitar Créditos disponible en https://zeus.sii.cl/dii_doc/carpeta-tributaria/html/index.htm  </w:t>
            </w:r>
          </w:p>
        </w:tc>
      </w:tr>
    </w:tbl>
    <w:p w14:paraId="29348E66" w14:textId="77777777" w:rsidR="003C5175" w:rsidRDefault="003C5175" w:rsidP="003C5175">
      <w:pPr>
        <w:rPr>
          <w:rFonts w:ascii="gobCL" w:eastAsia="gobCL" w:hAnsi="gobCL" w:cs="gobCL"/>
          <w:b/>
          <w:sz w:val="20"/>
          <w:szCs w:val="20"/>
        </w:rPr>
      </w:pPr>
    </w:p>
    <w:p w14:paraId="5FF98D65" w14:textId="77777777" w:rsidR="00793407" w:rsidRDefault="00793407" w:rsidP="003C5175">
      <w:pPr>
        <w:rPr>
          <w:rFonts w:ascii="gobCL" w:eastAsia="gobCL" w:hAnsi="gobCL" w:cs="gobCL"/>
          <w:b/>
          <w:sz w:val="20"/>
          <w:szCs w:val="20"/>
        </w:rPr>
      </w:pPr>
    </w:p>
    <w:p w14:paraId="68F2BA99" w14:textId="77777777" w:rsidR="00793407" w:rsidRDefault="00793407" w:rsidP="003C5175">
      <w:pPr>
        <w:rPr>
          <w:rFonts w:ascii="gobCL" w:eastAsia="gobCL" w:hAnsi="gobCL" w:cs="gobCL"/>
          <w:b/>
          <w:sz w:val="20"/>
          <w:szCs w:val="20"/>
        </w:rPr>
      </w:pPr>
    </w:p>
    <w:p w14:paraId="2B4C3F34" w14:textId="2CD1B454" w:rsidR="00793407" w:rsidRDefault="00793407" w:rsidP="003C5175">
      <w:pPr>
        <w:rPr>
          <w:rFonts w:ascii="gobCL" w:eastAsia="gobCL" w:hAnsi="gobCL" w:cs="gobCL"/>
          <w:b/>
          <w:sz w:val="20"/>
          <w:szCs w:val="20"/>
        </w:rPr>
      </w:pPr>
    </w:p>
    <w:p w14:paraId="03FFD2A3" w14:textId="08405BB5" w:rsidR="002D5E80" w:rsidRDefault="002D5E80" w:rsidP="003C5175">
      <w:pPr>
        <w:rPr>
          <w:rFonts w:ascii="gobCL" w:eastAsia="gobCL" w:hAnsi="gobCL" w:cs="gobCL"/>
          <w:b/>
          <w:sz w:val="20"/>
          <w:szCs w:val="20"/>
        </w:rPr>
      </w:pPr>
    </w:p>
    <w:p w14:paraId="280AF3D7" w14:textId="473944B7" w:rsidR="002D5E80" w:rsidRDefault="002D5E80" w:rsidP="003C5175">
      <w:pPr>
        <w:rPr>
          <w:rFonts w:ascii="gobCL" w:eastAsia="gobCL" w:hAnsi="gobCL" w:cs="gobCL"/>
          <w:b/>
          <w:sz w:val="20"/>
          <w:szCs w:val="20"/>
        </w:rPr>
      </w:pPr>
    </w:p>
    <w:p w14:paraId="7B0DF080" w14:textId="60D05E67" w:rsidR="002D5E80" w:rsidRDefault="002D5E80" w:rsidP="003C5175">
      <w:pPr>
        <w:rPr>
          <w:rFonts w:ascii="gobCL" w:eastAsia="gobCL" w:hAnsi="gobCL" w:cs="gobCL"/>
          <w:b/>
          <w:sz w:val="20"/>
          <w:szCs w:val="20"/>
        </w:rPr>
      </w:pPr>
    </w:p>
    <w:p w14:paraId="34C271A8" w14:textId="228F0483" w:rsidR="002D5E80" w:rsidRDefault="002D5E80" w:rsidP="003C5175">
      <w:pPr>
        <w:rPr>
          <w:rFonts w:ascii="gobCL" w:eastAsia="gobCL" w:hAnsi="gobCL" w:cs="gobCL"/>
          <w:b/>
          <w:sz w:val="20"/>
          <w:szCs w:val="20"/>
        </w:rPr>
      </w:pPr>
    </w:p>
    <w:p w14:paraId="63ACDE32" w14:textId="79D4FE60" w:rsidR="002D5E80" w:rsidRDefault="002D5E80" w:rsidP="003C5175">
      <w:pPr>
        <w:rPr>
          <w:rFonts w:ascii="gobCL" w:eastAsia="gobCL" w:hAnsi="gobCL" w:cs="gobCL"/>
          <w:b/>
          <w:sz w:val="20"/>
          <w:szCs w:val="20"/>
        </w:rPr>
      </w:pPr>
    </w:p>
    <w:p w14:paraId="7B2F9D63" w14:textId="6CB5CA2F" w:rsidR="002D5E80" w:rsidRDefault="002D5E80" w:rsidP="003C5175">
      <w:pPr>
        <w:rPr>
          <w:rFonts w:ascii="gobCL" w:eastAsia="gobCL" w:hAnsi="gobCL" w:cs="gobCL"/>
          <w:b/>
          <w:sz w:val="20"/>
          <w:szCs w:val="20"/>
        </w:rPr>
      </w:pPr>
    </w:p>
    <w:p w14:paraId="151A6A95" w14:textId="31779332" w:rsidR="002D5E80" w:rsidRDefault="002D5E80" w:rsidP="003C5175">
      <w:pPr>
        <w:rPr>
          <w:rFonts w:ascii="gobCL" w:eastAsia="gobCL" w:hAnsi="gobCL" w:cs="gobCL"/>
          <w:b/>
          <w:sz w:val="20"/>
          <w:szCs w:val="20"/>
        </w:rPr>
      </w:pPr>
    </w:p>
    <w:p w14:paraId="5356C06D" w14:textId="4220F894" w:rsidR="002D5E80" w:rsidRDefault="002D5E80" w:rsidP="003C5175">
      <w:pPr>
        <w:rPr>
          <w:rFonts w:ascii="gobCL" w:eastAsia="gobCL" w:hAnsi="gobCL" w:cs="gobCL"/>
          <w:b/>
          <w:sz w:val="20"/>
          <w:szCs w:val="20"/>
        </w:rPr>
      </w:pPr>
    </w:p>
    <w:p w14:paraId="05ED1D96" w14:textId="7494B278" w:rsidR="002D5E80" w:rsidRDefault="002D5E80" w:rsidP="003C5175">
      <w:pPr>
        <w:rPr>
          <w:rFonts w:ascii="gobCL" w:eastAsia="gobCL" w:hAnsi="gobCL" w:cs="gobCL"/>
          <w:b/>
          <w:sz w:val="20"/>
          <w:szCs w:val="20"/>
        </w:rPr>
      </w:pPr>
    </w:p>
    <w:p w14:paraId="078FA187" w14:textId="2C347C4E" w:rsidR="002D5E80" w:rsidRDefault="002D5E80" w:rsidP="003C5175">
      <w:pPr>
        <w:rPr>
          <w:rFonts w:ascii="gobCL" w:eastAsia="gobCL" w:hAnsi="gobCL" w:cs="gobCL"/>
          <w:b/>
          <w:sz w:val="20"/>
          <w:szCs w:val="20"/>
        </w:rPr>
      </w:pPr>
    </w:p>
    <w:p w14:paraId="74918204" w14:textId="0D35D0D0" w:rsidR="002D5E80" w:rsidRDefault="002D5E80" w:rsidP="003C5175">
      <w:pPr>
        <w:rPr>
          <w:rFonts w:ascii="gobCL" w:eastAsia="gobCL" w:hAnsi="gobCL" w:cs="gobCL"/>
          <w:b/>
          <w:sz w:val="20"/>
          <w:szCs w:val="20"/>
        </w:rPr>
      </w:pPr>
    </w:p>
    <w:p w14:paraId="64986AB1" w14:textId="4641EBCE" w:rsidR="002D5E80" w:rsidRDefault="002D5E80" w:rsidP="003C5175">
      <w:pPr>
        <w:rPr>
          <w:rFonts w:ascii="gobCL" w:eastAsia="gobCL" w:hAnsi="gobCL" w:cs="gobCL"/>
          <w:b/>
          <w:sz w:val="20"/>
          <w:szCs w:val="20"/>
        </w:rPr>
      </w:pPr>
    </w:p>
    <w:p w14:paraId="6A002011" w14:textId="21DB0B0A" w:rsidR="002D5E80" w:rsidRDefault="002D5E80" w:rsidP="003C5175">
      <w:pPr>
        <w:rPr>
          <w:rFonts w:ascii="gobCL" w:eastAsia="gobCL" w:hAnsi="gobCL" w:cs="gobCL"/>
          <w:b/>
          <w:sz w:val="20"/>
          <w:szCs w:val="20"/>
        </w:rPr>
      </w:pPr>
    </w:p>
    <w:p w14:paraId="6B433075" w14:textId="0BA6F0B1" w:rsidR="002D5E80" w:rsidRDefault="002D5E80" w:rsidP="003C5175">
      <w:pPr>
        <w:rPr>
          <w:rFonts w:ascii="gobCL" w:eastAsia="gobCL" w:hAnsi="gobCL" w:cs="gobCL"/>
          <w:b/>
          <w:sz w:val="20"/>
          <w:szCs w:val="20"/>
        </w:rPr>
      </w:pPr>
    </w:p>
    <w:p w14:paraId="1E6C7744" w14:textId="0768DE39" w:rsidR="002D5E80" w:rsidRDefault="002D5E80" w:rsidP="003C5175">
      <w:pPr>
        <w:rPr>
          <w:rFonts w:ascii="gobCL" w:eastAsia="gobCL" w:hAnsi="gobCL" w:cs="gobCL"/>
          <w:b/>
          <w:sz w:val="20"/>
          <w:szCs w:val="20"/>
        </w:rPr>
      </w:pPr>
    </w:p>
    <w:p w14:paraId="5D21D6FE" w14:textId="7641C781" w:rsidR="000618A9" w:rsidRDefault="000618A9" w:rsidP="003C5175">
      <w:pPr>
        <w:rPr>
          <w:rFonts w:ascii="gobCL" w:eastAsia="gobCL" w:hAnsi="gobCL" w:cs="gobCL"/>
          <w:b/>
          <w:sz w:val="20"/>
          <w:szCs w:val="20"/>
        </w:rPr>
      </w:pPr>
    </w:p>
    <w:p w14:paraId="548F9C05" w14:textId="6DB487C3" w:rsidR="000618A9" w:rsidRDefault="000618A9" w:rsidP="003C5175">
      <w:pPr>
        <w:rPr>
          <w:rFonts w:ascii="gobCL" w:eastAsia="gobCL" w:hAnsi="gobCL" w:cs="gobCL"/>
          <w:b/>
          <w:sz w:val="20"/>
          <w:szCs w:val="20"/>
        </w:rPr>
      </w:pPr>
    </w:p>
    <w:p w14:paraId="41C9489D" w14:textId="77777777" w:rsidR="00F11DEE" w:rsidRDefault="00F11DEE" w:rsidP="003C5175">
      <w:pPr>
        <w:rPr>
          <w:rFonts w:ascii="gobCL" w:eastAsia="gobCL" w:hAnsi="gobCL" w:cs="gobCL"/>
          <w:b/>
          <w:sz w:val="20"/>
          <w:szCs w:val="20"/>
        </w:rPr>
      </w:pPr>
    </w:p>
    <w:p w14:paraId="49C8E07B" w14:textId="77777777" w:rsidR="00793407" w:rsidRDefault="00793407" w:rsidP="003C5175">
      <w:pPr>
        <w:rPr>
          <w:rFonts w:ascii="gobCL" w:eastAsia="gobCL" w:hAnsi="gobCL" w:cs="gobCL"/>
          <w:b/>
          <w:sz w:val="20"/>
          <w:szCs w:val="20"/>
        </w:rPr>
      </w:pPr>
    </w:p>
    <w:p w14:paraId="75239B69" w14:textId="77777777" w:rsidR="00793407" w:rsidRDefault="00793407" w:rsidP="003C5175">
      <w:pPr>
        <w:rPr>
          <w:rFonts w:ascii="gobCL" w:eastAsia="gobCL" w:hAnsi="gobCL" w:cs="gobCL"/>
          <w:b/>
          <w:sz w:val="20"/>
          <w:szCs w:val="20"/>
        </w:rPr>
      </w:pPr>
    </w:p>
    <w:p w14:paraId="6047B273" w14:textId="3A58A0F5" w:rsidR="002862B1" w:rsidRDefault="007C48F8" w:rsidP="00C97970">
      <w:pPr>
        <w:jc w:val="center"/>
        <w:rPr>
          <w:rFonts w:ascii="gobCL" w:eastAsia="gobCL" w:hAnsi="gobCL" w:cs="gobCL"/>
          <w:b/>
          <w:sz w:val="20"/>
          <w:szCs w:val="20"/>
        </w:rPr>
      </w:pPr>
      <w:r>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Default="007C48F8">
            <w:pPr>
              <w:jc w:val="center"/>
              <w:rPr>
                <w:rFonts w:ascii="gobCL" w:eastAsia="gobCL" w:hAnsi="gobCL" w:cs="gobCL"/>
                <w:b/>
              </w:rPr>
            </w:pPr>
            <w:r>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Default="007C48F8">
            <w:pPr>
              <w:pBdr>
                <w:top w:val="nil"/>
                <w:left w:val="nil"/>
                <w:bottom w:val="nil"/>
                <w:right w:val="nil"/>
                <w:between w:val="nil"/>
              </w:pBdr>
              <w:ind w:hanging="720"/>
              <w:jc w:val="center"/>
              <w:rPr>
                <w:rFonts w:ascii="gobCL" w:eastAsia="gobCL" w:hAnsi="gobCL" w:cs="gobCL"/>
                <w:b/>
                <w:color w:val="000000"/>
              </w:rPr>
            </w:pPr>
            <w:r>
              <w:rPr>
                <w:rFonts w:ascii="gobCL" w:eastAsia="gobCL" w:hAnsi="gobCL" w:cs="gobCL"/>
                <w:b/>
                <w:color w:val="000000"/>
              </w:rPr>
              <w:t>Medio de verificación</w:t>
            </w:r>
          </w:p>
        </w:tc>
      </w:tr>
      <w:tr w:rsidR="002862B1"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77777777" w:rsidR="002862B1" w:rsidRDefault="007C48F8">
            <w:pPr>
              <w:jc w:val="both"/>
              <w:rPr>
                <w:rFonts w:ascii="gobCL" w:eastAsia="gobCL" w:hAnsi="gobCL" w:cs="gobCL"/>
              </w:rPr>
            </w:pPr>
            <w:r>
              <w:rPr>
                <w:rFonts w:ascii="gobCL" w:eastAsia="gobCL" w:hAnsi="gobCL" w:cs="gobCL"/>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000000"/>
              <w:left w:val="single" w:sz="4" w:space="0" w:color="000000"/>
              <w:bottom w:val="single" w:sz="4" w:space="0" w:color="000000"/>
              <w:right w:val="single" w:sz="4" w:space="0" w:color="000000"/>
            </w:tcBorders>
          </w:tcPr>
          <w:p w14:paraId="29D5D30E" w14:textId="77777777" w:rsidR="002862B1" w:rsidRDefault="007C48F8">
            <w:pPr>
              <w:ind w:left="25"/>
              <w:jc w:val="both"/>
              <w:rPr>
                <w:rFonts w:ascii="gobCL" w:eastAsia="gobCL" w:hAnsi="gobCL" w:cs="gobCL"/>
              </w:rPr>
            </w:pPr>
            <w:r>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emitido con antigüedad máxima de 60 días corridos desde la fecha de firma del contrato.</w:t>
            </w:r>
          </w:p>
        </w:tc>
      </w:tr>
      <w:tr w:rsidR="002862B1"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77777777" w:rsidR="002862B1" w:rsidRDefault="007C48F8">
            <w:pPr>
              <w:jc w:val="both"/>
              <w:rPr>
                <w:rFonts w:ascii="gobCL" w:eastAsia="gobCL" w:hAnsi="gobCL" w:cs="gobCL"/>
              </w:rPr>
            </w:pPr>
            <w:r>
              <w:rPr>
                <w:rFonts w:ascii="gobCL" w:eastAsia="gobCL" w:hAnsi="gobCL" w:cs="gobCL"/>
              </w:rPr>
              <w:t>El empresario/ha seleccionado, en conjunto con el AOS, debe definir su Plan de Inversión (cuadro presupuestario y programación de gastos), documento que deberá ser presentado previo a la firma de contrato. El formato está disponible en el Anexo N°2, y servirá de base para el proceso de rendición de gastos.</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Default="007C48F8">
            <w:pPr>
              <w:ind w:left="25"/>
              <w:jc w:val="both"/>
              <w:rPr>
                <w:rFonts w:ascii="gobCL" w:eastAsia="gobCL" w:hAnsi="gobCL" w:cs="gobCL"/>
              </w:rPr>
            </w:pPr>
            <w:r>
              <w:rPr>
                <w:rFonts w:ascii="gobCL" w:eastAsia="gobCL" w:hAnsi="gobCL" w:cs="gobCL"/>
              </w:rPr>
              <w:t xml:space="preserve">Plan de Inversión elaborado en conjunto con el AOS, y validado por el ejecutivo de fomento. </w:t>
            </w:r>
          </w:p>
        </w:tc>
      </w:tr>
      <w:tr w:rsidR="002862B1"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Default="007C48F8">
            <w:pPr>
              <w:jc w:val="both"/>
              <w:rPr>
                <w:rFonts w:ascii="gobCL" w:eastAsia="gobCL" w:hAnsi="gobCL" w:cs="gobCL"/>
              </w:rPr>
            </w:pPr>
            <w:r>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Default="007C48F8">
            <w:pPr>
              <w:ind w:left="25"/>
              <w:jc w:val="both"/>
              <w:rPr>
                <w:rFonts w:ascii="gobCL" w:eastAsia="gobCL" w:hAnsi="gobCL" w:cs="gobCL"/>
              </w:rPr>
            </w:pPr>
            <w:r>
              <w:rPr>
                <w:rFonts w:ascii="gobCL" w:eastAsia="gobCL" w:hAnsi="gobCL" w:cs="gobCL"/>
              </w:rPr>
              <w:t xml:space="preserve">Este requisito será validado a través de Certificado de Antecedentes Laborales y Previsionales (F30) disponible en </w:t>
            </w:r>
            <w:hyperlink r:id="rId16">
              <w:r>
                <w:rPr>
                  <w:rFonts w:ascii="gobCL" w:eastAsia="gobCL" w:hAnsi="gobCL" w:cs="gobCL"/>
                  <w:color w:val="0000FF"/>
                  <w:u w:val="single"/>
                </w:rPr>
                <w:t>https://www.dt.gob.cl/portal/1626/w3-article-100359.html</w:t>
              </w:r>
            </w:hyperlink>
          </w:p>
        </w:tc>
      </w:tr>
      <w:tr w:rsidR="002862B1"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Default="007C48F8">
            <w:pPr>
              <w:jc w:val="both"/>
              <w:rPr>
                <w:rFonts w:ascii="gobCL" w:eastAsia="gobCL" w:hAnsi="gobCL" w:cs="gobCL"/>
              </w:rPr>
            </w:pPr>
            <w:r>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Default="007C48F8">
            <w:pPr>
              <w:ind w:left="25"/>
              <w:jc w:val="both"/>
              <w:rPr>
                <w:rFonts w:ascii="gobCL" w:eastAsia="gobCL" w:hAnsi="gobCL" w:cs="gobCL"/>
              </w:rPr>
            </w:pPr>
            <w:r>
              <w:rPr>
                <w:rFonts w:ascii="gobCL" w:eastAsia="gobCL" w:hAnsi="gobCL" w:cs="gobCL"/>
              </w:rPr>
              <w:t>Declaración Jurada simple de probidad, según formato de Anexo N°4.</w:t>
            </w:r>
          </w:p>
        </w:tc>
      </w:tr>
      <w:tr w:rsidR="002862B1"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77777777" w:rsidR="002862B1" w:rsidRDefault="007C48F8">
            <w:pPr>
              <w:jc w:val="both"/>
              <w:rPr>
                <w:rFonts w:ascii="gobCL" w:eastAsia="gobCL" w:hAnsi="gobCL" w:cs="gobCL"/>
              </w:rPr>
            </w:pPr>
            <w:r>
              <w:rPr>
                <w:rFonts w:ascii="gobCL" w:eastAsia="gobCL" w:hAnsi="gobCL" w:cs="gobCL"/>
              </w:rPr>
              <w:t>Suscripción de Declaración jurada de no consanguinidad en la rendición de gastos,</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Default="007C48F8">
            <w:pPr>
              <w:ind w:left="25"/>
              <w:jc w:val="both"/>
              <w:rPr>
                <w:rFonts w:ascii="gobCL" w:eastAsia="gobCL" w:hAnsi="gobCL" w:cs="gobCL"/>
              </w:rPr>
            </w:pPr>
            <w:r>
              <w:rPr>
                <w:rFonts w:ascii="gobCL" w:eastAsia="gobCL" w:hAnsi="gobCL" w:cs="gobCL"/>
              </w:rPr>
              <w:t xml:space="preserve">Declaración de no consanguinidad en el reembolso o compra de los gastos según formato Anexo N° 3. </w:t>
            </w:r>
          </w:p>
        </w:tc>
      </w:tr>
      <w:tr w:rsidR="002862B1"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Default="007C48F8">
            <w:pPr>
              <w:ind w:left="25"/>
              <w:jc w:val="both"/>
              <w:rPr>
                <w:rFonts w:ascii="gobCL" w:eastAsia="gobCL" w:hAnsi="gobCL" w:cs="gobCL"/>
                <w:b/>
                <w:u w:val="single"/>
              </w:rPr>
            </w:pPr>
            <w:r>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Default="007C48F8">
            <w:pPr>
              <w:ind w:left="25"/>
              <w:jc w:val="both"/>
              <w:rPr>
                <w:rFonts w:ascii="gobCL" w:eastAsia="gobCL" w:hAnsi="gobCL" w:cs="gobCL"/>
              </w:rPr>
            </w:pPr>
            <w:r>
              <w:rPr>
                <w:rFonts w:ascii="gobCL" w:eastAsia="gobCL" w:hAnsi="gobCL" w:cs="gobCL"/>
              </w:rPr>
              <w:t>Requisito validado por Sercotec para el RUT de la empresa postulante.</w:t>
            </w:r>
          </w:p>
        </w:tc>
      </w:tr>
      <w:tr w:rsidR="002862B1" w14:paraId="707F6740" w14:textId="77777777">
        <w:tc>
          <w:tcPr>
            <w:tcW w:w="4531" w:type="dxa"/>
            <w:tcBorders>
              <w:top w:val="single" w:sz="4" w:space="0" w:color="000000"/>
              <w:left w:val="single" w:sz="4" w:space="0" w:color="000000"/>
              <w:bottom w:val="single" w:sz="4" w:space="0" w:color="000000"/>
              <w:right w:val="single" w:sz="4" w:space="0" w:color="000000"/>
            </w:tcBorders>
          </w:tcPr>
          <w:p w14:paraId="7AC2F758" w14:textId="206514D7" w:rsidR="002862B1" w:rsidRDefault="007C48F8">
            <w:pPr>
              <w:ind w:left="25"/>
              <w:jc w:val="both"/>
              <w:rPr>
                <w:rFonts w:ascii="gobCL" w:eastAsia="gobCL" w:hAnsi="gobCL" w:cs="gobCL"/>
                <w:color w:val="000000"/>
              </w:rPr>
            </w:pPr>
            <w:r>
              <w:rPr>
                <w:rFonts w:ascii="gobCL" w:eastAsia="gobCL" w:hAnsi="gobCL" w:cs="gobCL"/>
              </w:rPr>
              <w:t xml:space="preserve">No haber sido beneficiario de </w:t>
            </w:r>
            <w:r w:rsidR="003F0668">
              <w:rPr>
                <w:rFonts w:ascii="gobCL" w:eastAsia="gobCL" w:hAnsi="gobCL" w:cs="gobCL"/>
              </w:rPr>
              <w:t>ninguna</w:t>
            </w:r>
            <w:r>
              <w:rPr>
                <w:rFonts w:ascii="gobCL" w:eastAsia="gobCL" w:hAnsi="gobCL" w:cs="gobCL"/>
              </w:rPr>
              <w:t xml:space="preserve"> convocatoria Reactívate con Sercotec 2020.</w:t>
            </w:r>
            <w:r>
              <w:rPr>
                <w:rFonts w:ascii="gobCL" w:eastAsia="gobCL" w:hAnsi="gobCL" w:cs="gobCL"/>
              </w:rPr>
              <w:tab/>
            </w:r>
          </w:p>
        </w:tc>
        <w:tc>
          <w:tcPr>
            <w:tcW w:w="4297" w:type="dxa"/>
            <w:tcBorders>
              <w:top w:val="single" w:sz="4" w:space="0" w:color="000000"/>
              <w:left w:val="single" w:sz="4" w:space="0" w:color="000000"/>
              <w:bottom w:val="single" w:sz="4" w:space="0" w:color="000000"/>
              <w:right w:val="single" w:sz="4" w:space="0" w:color="000000"/>
            </w:tcBorders>
          </w:tcPr>
          <w:p w14:paraId="2497D97D" w14:textId="77777777" w:rsidR="002862B1" w:rsidRDefault="007C48F8">
            <w:pPr>
              <w:ind w:left="25"/>
              <w:jc w:val="both"/>
              <w:rPr>
                <w:rFonts w:ascii="gobCL" w:eastAsia="gobCL" w:hAnsi="gobCL" w:cs="gobCL"/>
              </w:rPr>
            </w:pPr>
            <w:r>
              <w:rPr>
                <w:rFonts w:ascii="gobCL" w:eastAsia="gobCL" w:hAnsi="gobCL" w:cs="gobCL"/>
              </w:rPr>
              <w:t>Requisito validado por Sercotec para el RUT de la empresa postulante.</w:t>
            </w:r>
          </w:p>
        </w:tc>
      </w:tr>
    </w:tbl>
    <w:p w14:paraId="62A8F018" w14:textId="77777777" w:rsidR="00855E79" w:rsidRDefault="00855E79">
      <w:pPr>
        <w:tabs>
          <w:tab w:val="left" w:pos="1747"/>
        </w:tabs>
        <w:jc w:val="center"/>
        <w:rPr>
          <w:rFonts w:ascii="gobCL" w:eastAsia="gobCL" w:hAnsi="gobCL" w:cs="gobCL"/>
          <w:b/>
          <w:sz w:val="20"/>
          <w:szCs w:val="20"/>
        </w:rPr>
      </w:pPr>
    </w:p>
    <w:p w14:paraId="060FADA7" w14:textId="77777777" w:rsidR="00855E79" w:rsidRDefault="00855E79">
      <w:pPr>
        <w:rPr>
          <w:rFonts w:ascii="gobCL" w:eastAsia="gobCL" w:hAnsi="gobCL" w:cs="gobCL"/>
          <w:b/>
          <w:sz w:val="20"/>
          <w:szCs w:val="20"/>
        </w:rPr>
      </w:pPr>
      <w:r>
        <w:rPr>
          <w:rFonts w:ascii="gobCL" w:eastAsia="gobCL" w:hAnsi="gobCL" w:cs="gobCL"/>
          <w:b/>
          <w:sz w:val="20"/>
          <w:szCs w:val="20"/>
        </w:rPr>
        <w:br w:type="page"/>
      </w:r>
    </w:p>
    <w:p w14:paraId="2285867C" w14:textId="77777777" w:rsidR="002862B1" w:rsidRDefault="007C48F8">
      <w:pPr>
        <w:tabs>
          <w:tab w:val="left" w:pos="1747"/>
        </w:tabs>
        <w:jc w:val="center"/>
        <w:rPr>
          <w:rFonts w:ascii="gobCL" w:eastAsia="gobCL" w:hAnsi="gobCL" w:cs="gobCL"/>
          <w:b/>
          <w:sz w:val="20"/>
          <w:szCs w:val="20"/>
        </w:rPr>
      </w:pPr>
      <w:r>
        <w:rPr>
          <w:rFonts w:ascii="gobCL" w:eastAsia="gobCL" w:hAnsi="gobCL" w:cs="gobCL"/>
          <w:b/>
          <w:sz w:val="20"/>
          <w:szCs w:val="20"/>
        </w:rPr>
        <w:lastRenderedPageBreak/>
        <w:t>ANEXO N°2</w:t>
      </w:r>
    </w:p>
    <w:p w14:paraId="7784F9F7" w14:textId="77777777" w:rsidR="002862B1" w:rsidRDefault="007C48F8">
      <w:pPr>
        <w:tabs>
          <w:tab w:val="left" w:pos="1747"/>
        </w:tabs>
        <w:jc w:val="center"/>
        <w:rPr>
          <w:rFonts w:ascii="gobCL" w:eastAsia="gobCL" w:hAnsi="gobCL" w:cs="gobCL"/>
          <w:b/>
          <w:sz w:val="20"/>
          <w:szCs w:val="20"/>
        </w:rPr>
      </w:pPr>
      <w:r>
        <w:rPr>
          <w:rFonts w:ascii="gobCL" w:eastAsia="gobCL" w:hAnsi="gobCL" w:cs="gobCL"/>
          <w:b/>
          <w:sz w:val="20"/>
          <w:szCs w:val="20"/>
        </w:rPr>
        <w:t>PLAN DE INVERSIÓN</w:t>
      </w:r>
    </w:p>
    <w:p w14:paraId="43767E67" w14:textId="77777777" w:rsidR="002862B1" w:rsidRDefault="002862B1">
      <w:pPr>
        <w:tabs>
          <w:tab w:val="left" w:pos="1747"/>
        </w:tabs>
        <w:rPr>
          <w:rFonts w:ascii="gobCL" w:eastAsia="gobCL" w:hAnsi="gobCL" w:cs="gobCL"/>
          <w:b/>
          <w:sz w:val="20"/>
          <w:szCs w:val="20"/>
        </w:rPr>
      </w:pP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2862B1" w14:paraId="5974826F" w14:textId="77777777" w:rsidTr="00C33797">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3DC110E" w14:textId="77777777" w:rsidR="002862B1" w:rsidRPr="00C33797" w:rsidRDefault="007C48F8" w:rsidP="00C33797">
            <w:pPr>
              <w:spacing w:after="0" w:line="240" w:lineRule="auto"/>
              <w:jc w:val="center"/>
              <w:rPr>
                <w:rFonts w:ascii="gobCL" w:eastAsia="gobCL" w:hAnsi="gobCL" w:cs="gobCL"/>
                <w:sz w:val="20"/>
                <w:szCs w:val="20"/>
              </w:rPr>
            </w:pPr>
            <w:r w:rsidRPr="00C33797">
              <w:rPr>
                <w:rFonts w:ascii="gobCL" w:eastAsia="gobCL" w:hAnsi="gobCL" w:cs="gobCL"/>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C87258C" w14:textId="77777777" w:rsidR="002862B1" w:rsidRPr="00C33797" w:rsidRDefault="007C48F8" w:rsidP="00C33797">
            <w:pPr>
              <w:spacing w:after="0" w:line="240" w:lineRule="auto"/>
              <w:jc w:val="center"/>
              <w:rPr>
                <w:rFonts w:ascii="gobCL" w:eastAsia="gobCL" w:hAnsi="gobCL" w:cs="gobCL"/>
                <w:sz w:val="20"/>
                <w:szCs w:val="20"/>
              </w:rPr>
            </w:pPr>
            <w:r w:rsidRPr="00C33797">
              <w:rPr>
                <w:rFonts w:ascii="gobCL" w:eastAsia="gobCL" w:hAnsi="gobCL" w:cs="gobCL"/>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07B82F13" w14:textId="77777777" w:rsidR="002862B1" w:rsidRPr="00C33797" w:rsidRDefault="007C48F8" w:rsidP="00C33797">
            <w:pPr>
              <w:spacing w:after="0" w:line="240" w:lineRule="auto"/>
              <w:jc w:val="center"/>
              <w:rPr>
                <w:rFonts w:ascii="gobCL" w:eastAsia="gobCL" w:hAnsi="gobCL" w:cs="gobCL"/>
                <w:sz w:val="20"/>
                <w:szCs w:val="20"/>
              </w:rPr>
            </w:pPr>
            <w:r w:rsidRPr="00C33797">
              <w:rPr>
                <w:rFonts w:ascii="gobCL" w:eastAsia="gobCL" w:hAnsi="gobCL" w:cs="gobCL"/>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FF29CC2" w14:textId="77777777" w:rsidR="002862B1" w:rsidRPr="00C33797" w:rsidRDefault="007C48F8" w:rsidP="00C33797">
            <w:pPr>
              <w:spacing w:after="0" w:line="240" w:lineRule="auto"/>
              <w:jc w:val="center"/>
              <w:rPr>
                <w:rFonts w:ascii="gobCL" w:eastAsia="gobCL" w:hAnsi="gobCL" w:cs="gobCL"/>
                <w:sz w:val="20"/>
                <w:szCs w:val="20"/>
              </w:rPr>
            </w:pPr>
            <w:r w:rsidRPr="00C33797">
              <w:rPr>
                <w:rFonts w:ascii="gobCL" w:eastAsia="gobCL" w:hAnsi="gobCL" w:cs="gobCL"/>
                <w:sz w:val="20"/>
                <w:szCs w:val="20"/>
              </w:rPr>
              <w:t>FECHA DE ADQUISICIÓN</w:t>
            </w:r>
          </w:p>
        </w:tc>
      </w:tr>
      <w:tr w:rsidR="002862B1" w14:paraId="6E618B0D" w14:textId="77777777" w:rsidTr="00C33797">
        <w:trPr>
          <w:trHeight w:val="267"/>
        </w:trPr>
        <w:tc>
          <w:tcPr>
            <w:tcW w:w="1418" w:type="dxa"/>
            <w:vMerge w:val="restart"/>
            <w:tcBorders>
              <w:top w:val="nil"/>
              <w:left w:val="single" w:sz="4" w:space="0" w:color="000000"/>
              <w:bottom w:val="single" w:sz="4" w:space="0" w:color="000000"/>
              <w:right w:val="single" w:sz="4" w:space="0" w:color="000000"/>
            </w:tcBorders>
            <w:shd w:val="clear" w:color="auto" w:fill="auto"/>
            <w:vAlign w:val="center"/>
          </w:tcPr>
          <w:p w14:paraId="65BCD2DC"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Activos Fijos</w:t>
            </w:r>
          </w:p>
        </w:tc>
        <w:tc>
          <w:tcPr>
            <w:tcW w:w="4111" w:type="dxa"/>
            <w:tcBorders>
              <w:top w:val="nil"/>
              <w:left w:val="nil"/>
              <w:bottom w:val="single" w:sz="4" w:space="0" w:color="000000"/>
              <w:right w:val="single" w:sz="4" w:space="0" w:color="000000"/>
            </w:tcBorders>
            <w:shd w:val="clear" w:color="auto" w:fill="auto"/>
            <w:vAlign w:val="center"/>
          </w:tcPr>
          <w:p w14:paraId="17F22967"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Maquinas, equipos, herramientas</w:t>
            </w:r>
          </w:p>
        </w:tc>
        <w:tc>
          <w:tcPr>
            <w:tcW w:w="1275" w:type="dxa"/>
            <w:tcBorders>
              <w:top w:val="nil"/>
              <w:left w:val="nil"/>
              <w:bottom w:val="single" w:sz="4" w:space="0" w:color="000000"/>
              <w:right w:val="single" w:sz="4" w:space="0" w:color="000000"/>
            </w:tcBorders>
            <w:shd w:val="clear" w:color="auto" w:fill="auto"/>
            <w:vAlign w:val="center"/>
          </w:tcPr>
          <w:p w14:paraId="402B01FA"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4CF79814"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51922350"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3E941966" w14:textId="77777777" w:rsidTr="00C33797">
        <w:trPr>
          <w:trHeight w:val="541"/>
        </w:trPr>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2F206D81"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A15CA67"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Mobiliario (mesones, repisas, tableros, caballetes, toldos, stands móviles, etc.)</w:t>
            </w:r>
          </w:p>
        </w:tc>
        <w:tc>
          <w:tcPr>
            <w:tcW w:w="1275" w:type="dxa"/>
            <w:tcBorders>
              <w:top w:val="nil"/>
              <w:left w:val="nil"/>
              <w:bottom w:val="single" w:sz="4" w:space="0" w:color="000000"/>
              <w:right w:val="single" w:sz="4" w:space="0" w:color="000000"/>
            </w:tcBorders>
            <w:shd w:val="clear" w:color="auto" w:fill="auto"/>
            <w:vAlign w:val="center"/>
          </w:tcPr>
          <w:p w14:paraId="01029169"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5A912144"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B6096C"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7DA16B84" w14:textId="77777777" w:rsidTr="00C33797">
        <w:trPr>
          <w:trHeight w:val="661"/>
        </w:trPr>
        <w:tc>
          <w:tcPr>
            <w:tcW w:w="1418" w:type="dxa"/>
            <w:vMerge/>
            <w:tcBorders>
              <w:top w:val="nil"/>
              <w:left w:val="single" w:sz="4" w:space="0" w:color="000000"/>
              <w:bottom w:val="single" w:sz="4" w:space="0" w:color="000000"/>
              <w:right w:val="single" w:sz="4" w:space="0" w:color="000000"/>
            </w:tcBorders>
            <w:shd w:val="clear" w:color="auto" w:fill="auto"/>
            <w:vAlign w:val="center"/>
          </w:tcPr>
          <w:p w14:paraId="529F3B7D"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41BA17A8"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Elementos tecnológicos (equipos computacionales, balanzas digitales, pesas, etc.</w:t>
            </w:r>
          </w:p>
        </w:tc>
        <w:tc>
          <w:tcPr>
            <w:tcW w:w="1275" w:type="dxa"/>
            <w:tcBorders>
              <w:top w:val="nil"/>
              <w:left w:val="nil"/>
              <w:bottom w:val="single" w:sz="4" w:space="0" w:color="000000"/>
              <w:right w:val="single" w:sz="4" w:space="0" w:color="000000"/>
            </w:tcBorders>
            <w:shd w:val="clear" w:color="auto" w:fill="auto"/>
            <w:vAlign w:val="center"/>
          </w:tcPr>
          <w:p w14:paraId="1B2A5B6E"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430244CE"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4916755E"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598E8CEA" w14:textId="77777777" w:rsidTr="00C33797">
        <w:trPr>
          <w:trHeight w:val="288"/>
        </w:trPr>
        <w:tc>
          <w:tcPr>
            <w:tcW w:w="1418" w:type="dxa"/>
            <w:vMerge w:val="restart"/>
            <w:tcBorders>
              <w:top w:val="nil"/>
              <w:left w:val="single" w:sz="4" w:space="0" w:color="000000"/>
              <w:right w:val="single" w:sz="4" w:space="0" w:color="000000"/>
            </w:tcBorders>
            <w:shd w:val="clear" w:color="auto" w:fill="auto"/>
            <w:vAlign w:val="center"/>
          </w:tcPr>
          <w:p w14:paraId="34A69506"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Capital de trabajo</w:t>
            </w:r>
          </w:p>
        </w:tc>
        <w:tc>
          <w:tcPr>
            <w:tcW w:w="4111" w:type="dxa"/>
            <w:tcBorders>
              <w:top w:val="nil"/>
              <w:left w:val="nil"/>
              <w:bottom w:val="single" w:sz="4" w:space="0" w:color="000000"/>
              <w:right w:val="single" w:sz="4" w:space="0" w:color="000000"/>
            </w:tcBorders>
            <w:shd w:val="clear" w:color="auto" w:fill="auto"/>
            <w:vAlign w:val="center"/>
          </w:tcPr>
          <w:p w14:paraId="75AFDA92"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Materias primas y materiales del proceso productivo</w:t>
            </w:r>
          </w:p>
        </w:tc>
        <w:tc>
          <w:tcPr>
            <w:tcW w:w="1275" w:type="dxa"/>
            <w:tcBorders>
              <w:top w:val="nil"/>
              <w:left w:val="nil"/>
              <w:bottom w:val="single" w:sz="4" w:space="0" w:color="000000"/>
              <w:right w:val="single" w:sz="4" w:space="0" w:color="000000"/>
            </w:tcBorders>
            <w:shd w:val="clear" w:color="auto" w:fill="auto"/>
            <w:vAlign w:val="center"/>
          </w:tcPr>
          <w:p w14:paraId="7661199B"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6205835"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21E49756"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62261B48" w14:textId="77777777" w:rsidTr="00C33797">
        <w:trPr>
          <w:trHeight w:val="268"/>
        </w:trPr>
        <w:tc>
          <w:tcPr>
            <w:tcW w:w="1418" w:type="dxa"/>
            <w:vMerge/>
            <w:tcBorders>
              <w:top w:val="nil"/>
              <w:left w:val="single" w:sz="4" w:space="0" w:color="000000"/>
              <w:right w:val="single" w:sz="4" w:space="0" w:color="000000"/>
            </w:tcBorders>
            <w:shd w:val="clear" w:color="auto" w:fill="auto"/>
            <w:vAlign w:val="center"/>
          </w:tcPr>
          <w:p w14:paraId="4CC0E292"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1EC0D4A8"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66AAEDCC"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467190DD"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DCF3B64"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51688353" w14:textId="77777777" w:rsidTr="00C33797">
        <w:trPr>
          <w:trHeight w:val="300"/>
        </w:trPr>
        <w:tc>
          <w:tcPr>
            <w:tcW w:w="1418" w:type="dxa"/>
            <w:vMerge/>
            <w:tcBorders>
              <w:top w:val="nil"/>
              <w:left w:val="single" w:sz="4" w:space="0" w:color="000000"/>
              <w:right w:val="single" w:sz="4" w:space="0" w:color="000000"/>
            </w:tcBorders>
            <w:shd w:val="clear" w:color="auto" w:fill="auto"/>
            <w:vAlign w:val="center"/>
          </w:tcPr>
          <w:p w14:paraId="6AF17C95"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4D4561C1"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Arriendos</w:t>
            </w:r>
          </w:p>
        </w:tc>
        <w:tc>
          <w:tcPr>
            <w:tcW w:w="1275" w:type="dxa"/>
            <w:tcBorders>
              <w:top w:val="nil"/>
              <w:left w:val="nil"/>
              <w:bottom w:val="single" w:sz="4" w:space="0" w:color="000000"/>
              <w:right w:val="single" w:sz="4" w:space="0" w:color="000000"/>
            </w:tcBorders>
            <w:shd w:val="clear" w:color="auto" w:fill="auto"/>
            <w:vAlign w:val="center"/>
          </w:tcPr>
          <w:p w14:paraId="79C40C3D"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71168C46"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9104D0C"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1FBEAAA4" w14:textId="77777777" w:rsidTr="00C33797">
        <w:trPr>
          <w:trHeight w:val="494"/>
        </w:trPr>
        <w:tc>
          <w:tcPr>
            <w:tcW w:w="1418" w:type="dxa"/>
            <w:vMerge/>
            <w:tcBorders>
              <w:top w:val="nil"/>
              <w:left w:val="single" w:sz="4" w:space="0" w:color="000000"/>
              <w:right w:val="single" w:sz="4" w:space="0" w:color="000000"/>
            </w:tcBorders>
            <w:shd w:val="clear" w:color="auto" w:fill="auto"/>
            <w:vAlign w:val="center"/>
          </w:tcPr>
          <w:p w14:paraId="3182E94F"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063D5398"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Gastos básicos : Agua, energía eléctrica, gas, teléfono, gastos comunes de propiedad arrendada o propia, y otros de similar índole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79BCA42A"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54F2D711"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331921A" w14:textId="77777777" w:rsidR="002862B1" w:rsidRDefault="007C48F8">
            <w:pPr>
              <w:spacing w:after="0" w:line="240" w:lineRule="auto"/>
              <w:jc w:val="both"/>
              <w:rPr>
                <w:rFonts w:ascii="gobCL" w:eastAsia="gobCL" w:hAnsi="gobCL" w:cs="gobCL"/>
                <w:color w:val="000000"/>
                <w:sz w:val="20"/>
                <w:szCs w:val="20"/>
              </w:rPr>
            </w:pPr>
            <w:r>
              <w:rPr>
                <w:color w:val="000000"/>
                <w:sz w:val="20"/>
                <w:szCs w:val="20"/>
              </w:rPr>
              <w:t> </w:t>
            </w:r>
          </w:p>
        </w:tc>
      </w:tr>
      <w:tr w:rsidR="002862B1" w14:paraId="59F497AF" w14:textId="77777777" w:rsidTr="00C33797">
        <w:trPr>
          <w:trHeight w:val="887"/>
        </w:trPr>
        <w:tc>
          <w:tcPr>
            <w:tcW w:w="1418" w:type="dxa"/>
            <w:vMerge/>
            <w:tcBorders>
              <w:top w:val="nil"/>
              <w:left w:val="single" w:sz="4" w:space="0" w:color="000000"/>
              <w:bottom w:val="single" w:sz="4" w:space="0" w:color="auto"/>
              <w:right w:val="single" w:sz="4" w:space="0" w:color="000000"/>
            </w:tcBorders>
            <w:shd w:val="clear" w:color="auto" w:fill="auto"/>
            <w:vAlign w:val="center"/>
          </w:tcPr>
          <w:p w14:paraId="70A51C16" w14:textId="77777777" w:rsidR="002862B1" w:rsidRDefault="002862B1">
            <w:pPr>
              <w:widowControl w:val="0"/>
              <w:pBdr>
                <w:top w:val="nil"/>
                <w:left w:val="nil"/>
                <w:bottom w:val="nil"/>
                <w:right w:val="nil"/>
                <w:between w:val="nil"/>
              </w:pBdr>
              <w:spacing w:after="0" w:line="276" w:lineRule="auto"/>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093365EA"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Cuotas de créditos (capital de la deuda y no intereses) con instituciones financieras siempre y cuando éstas estén a nombre de la empresa</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13D98778" w14:textId="77777777" w:rsidR="002862B1" w:rsidRDefault="002862B1">
            <w:pPr>
              <w:spacing w:after="0" w:line="240" w:lineRule="auto"/>
              <w:jc w:val="both"/>
              <w:rPr>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B2EC8AF" w14:textId="77777777" w:rsidR="002862B1" w:rsidRDefault="002862B1">
            <w:pPr>
              <w:spacing w:after="0" w:line="240" w:lineRule="auto"/>
              <w:jc w:val="both"/>
              <w:rPr>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6CD59CFD" w14:textId="77777777" w:rsidR="002862B1" w:rsidRDefault="002862B1">
            <w:pPr>
              <w:spacing w:after="0" w:line="240" w:lineRule="auto"/>
              <w:jc w:val="both"/>
              <w:rPr>
                <w:color w:val="000000"/>
                <w:sz w:val="20"/>
                <w:szCs w:val="20"/>
              </w:rPr>
            </w:pPr>
          </w:p>
        </w:tc>
      </w:tr>
      <w:tr w:rsidR="002862B1" w14:paraId="111CA02C" w14:textId="77777777" w:rsidTr="00C33797">
        <w:trPr>
          <w:trHeight w:val="887"/>
        </w:trPr>
        <w:tc>
          <w:tcPr>
            <w:tcW w:w="1418" w:type="dxa"/>
            <w:tcBorders>
              <w:top w:val="single" w:sz="4" w:space="0" w:color="auto"/>
              <w:left w:val="single" w:sz="4" w:space="0" w:color="000000"/>
              <w:right w:val="single" w:sz="4" w:space="0" w:color="000000"/>
            </w:tcBorders>
            <w:vAlign w:val="center"/>
          </w:tcPr>
          <w:p w14:paraId="176C057E" w14:textId="77777777" w:rsidR="002862B1" w:rsidRDefault="002862B1">
            <w:pPr>
              <w:spacing w:after="0" w:line="240" w:lineRule="auto"/>
              <w:rPr>
                <w:rFonts w:ascii="gobCL" w:eastAsia="gobCL" w:hAnsi="gobCL" w:cs="gobCL"/>
                <w:color w:val="000000"/>
                <w:sz w:val="20"/>
                <w:szCs w:val="20"/>
              </w:rPr>
            </w:pPr>
          </w:p>
          <w:p w14:paraId="261B8259"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Promoción, publicidad y difusión</w:t>
            </w:r>
          </w:p>
        </w:tc>
        <w:tc>
          <w:tcPr>
            <w:tcW w:w="4111" w:type="dxa"/>
            <w:tcBorders>
              <w:top w:val="single" w:sz="4" w:space="0" w:color="000000"/>
              <w:left w:val="nil"/>
              <w:bottom w:val="nil"/>
              <w:right w:val="single" w:sz="4" w:space="0" w:color="000000"/>
            </w:tcBorders>
            <w:shd w:val="clear" w:color="auto" w:fill="auto"/>
            <w:vAlign w:val="center"/>
          </w:tcPr>
          <w:p w14:paraId="0864666E" w14:textId="77777777" w:rsidR="002862B1" w:rsidRDefault="007C48F8">
            <w:pPr>
              <w:spacing w:after="0" w:line="240" w:lineRule="auto"/>
              <w:rPr>
                <w:rFonts w:ascii="gobCL" w:eastAsia="gobCL" w:hAnsi="gobCL" w:cs="gobCL"/>
                <w:color w:val="000000"/>
                <w:sz w:val="20"/>
                <w:szCs w:val="20"/>
              </w:rPr>
            </w:pPr>
            <w:r>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nil"/>
              <w:right w:val="single" w:sz="4" w:space="0" w:color="000000"/>
            </w:tcBorders>
            <w:shd w:val="clear" w:color="auto" w:fill="auto"/>
            <w:vAlign w:val="center"/>
          </w:tcPr>
          <w:p w14:paraId="0EBA3220" w14:textId="77777777" w:rsidR="002862B1" w:rsidRDefault="002862B1">
            <w:pPr>
              <w:spacing w:after="0" w:line="240" w:lineRule="auto"/>
              <w:jc w:val="both"/>
              <w:rPr>
                <w:color w:val="000000"/>
                <w:sz w:val="20"/>
                <w:szCs w:val="20"/>
              </w:rPr>
            </w:pPr>
          </w:p>
        </w:tc>
        <w:tc>
          <w:tcPr>
            <w:tcW w:w="1134" w:type="dxa"/>
            <w:tcBorders>
              <w:top w:val="single" w:sz="4" w:space="0" w:color="000000"/>
              <w:left w:val="nil"/>
              <w:bottom w:val="nil"/>
              <w:right w:val="single" w:sz="4" w:space="0" w:color="000000"/>
            </w:tcBorders>
            <w:shd w:val="clear" w:color="auto" w:fill="auto"/>
            <w:vAlign w:val="center"/>
          </w:tcPr>
          <w:p w14:paraId="1821B6E4" w14:textId="77777777" w:rsidR="002862B1" w:rsidRDefault="002862B1">
            <w:pPr>
              <w:spacing w:after="0" w:line="240" w:lineRule="auto"/>
              <w:jc w:val="both"/>
              <w:rPr>
                <w:color w:val="000000"/>
                <w:sz w:val="20"/>
                <w:szCs w:val="20"/>
              </w:rPr>
            </w:pPr>
          </w:p>
        </w:tc>
        <w:tc>
          <w:tcPr>
            <w:tcW w:w="1276" w:type="dxa"/>
            <w:tcBorders>
              <w:top w:val="single" w:sz="4" w:space="0" w:color="000000"/>
              <w:left w:val="nil"/>
              <w:bottom w:val="nil"/>
              <w:right w:val="single" w:sz="4" w:space="0" w:color="000000"/>
            </w:tcBorders>
            <w:shd w:val="clear" w:color="auto" w:fill="auto"/>
            <w:vAlign w:val="center"/>
          </w:tcPr>
          <w:p w14:paraId="60720452" w14:textId="77777777" w:rsidR="002862B1" w:rsidRDefault="002862B1">
            <w:pPr>
              <w:spacing w:after="0" w:line="240" w:lineRule="auto"/>
              <w:jc w:val="both"/>
              <w:rPr>
                <w:color w:val="000000"/>
                <w:sz w:val="20"/>
                <w:szCs w:val="20"/>
              </w:rPr>
            </w:pPr>
          </w:p>
        </w:tc>
      </w:tr>
      <w:tr w:rsidR="002862B1" w14:paraId="74B61872" w14:textId="77777777" w:rsidTr="00C33797">
        <w:trPr>
          <w:trHeight w:val="80"/>
        </w:trPr>
        <w:tc>
          <w:tcPr>
            <w:tcW w:w="1418" w:type="dxa"/>
            <w:tcBorders>
              <w:left w:val="single" w:sz="4" w:space="0" w:color="000000"/>
              <w:bottom w:val="single" w:sz="4" w:space="0" w:color="000000"/>
              <w:right w:val="single" w:sz="4" w:space="0" w:color="000000"/>
            </w:tcBorders>
            <w:vAlign w:val="center"/>
          </w:tcPr>
          <w:p w14:paraId="12397E6C" w14:textId="77777777" w:rsidR="002862B1" w:rsidRDefault="002862B1">
            <w:pPr>
              <w:spacing w:after="0" w:line="240" w:lineRule="auto"/>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42B39ED2" w14:textId="77777777" w:rsidR="002862B1" w:rsidRDefault="002862B1">
            <w:pPr>
              <w:spacing w:after="0" w:line="240" w:lineRule="auto"/>
              <w:rPr>
                <w:rFonts w:ascii="gobCL" w:eastAsia="gobCL" w:hAnsi="gobCL" w:cs="gobCL"/>
                <w:color w:val="000000"/>
                <w:sz w:val="20"/>
                <w:szCs w:val="20"/>
              </w:rPr>
            </w:pPr>
          </w:p>
        </w:tc>
        <w:tc>
          <w:tcPr>
            <w:tcW w:w="1275" w:type="dxa"/>
            <w:tcBorders>
              <w:top w:val="nil"/>
              <w:left w:val="nil"/>
              <w:bottom w:val="single" w:sz="4" w:space="0" w:color="000000"/>
              <w:right w:val="single" w:sz="4" w:space="0" w:color="000000"/>
            </w:tcBorders>
            <w:shd w:val="clear" w:color="auto" w:fill="auto"/>
            <w:vAlign w:val="center"/>
          </w:tcPr>
          <w:p w14:paraId="7FE0B0DB" w14:textId="77777777" w:rsidR="002862B1" w:rsidRDefault="002862B1">
            <w:pPr>
              <w:spacing w:after="0" w:line="240" w:lineRule="auto"/>
              <w:jc w:val="both"/>
              <w:rPr>
                <w:color w:val="000000"/>
                <w:sz w:val="20"/>
                <w:szCs w:val="20"/>
              </w:rPr>
            </w:pPr>
          </w:p>
        </w:tc>
        <w:tc>
          <w:tcPr>
            <w:tcW w:w="1134" w:type="dxa"/>
            <w:tcBorders>
              <w:top w:val="nil"/>
              <w:left w:val="nil"/>
              <w:bottom w:val="single" w:sz="4" w:space="0" w:color="000000"/>
              <w:right w:val="single" w:sz="4" w:space="0" w:color="000000"/>
            </w:tcBorders>
            <w:shd w:val="clear" w:color="auto" w:fill="auto"/>
            <w:vAlign w:val="center"/>
          </w:tcPr>
          <w:p w14:paraId="69EDC834" w14:textId="77777777" w:rsidR="002862B1" w:rsidRDefault="002862B1">
            <w:pPr>
              <w:spacing w:after="0" w:line="240" w:lineRule="auto"/>
              <w:jc w:val="both"/>
              <w:rPr>
                <w:color w:val="000000"/>
                <w:sz w:val="20"/>
                <w:szCs w:val="20"/>
              </w:rPr>
            </w:pPr>
          </w:p>
        </w:tc>
        <w:tc>
          <w:tcPr>
            <w:tcW w:w="1276" w:type="dxa"/>
            <w:tcBorders>
              <w:top w:val="nil"/>
              <w:left w:val="nil"/>
              <w:bottom w:val="single" w:sz="4" w:space="0" w:color="000000"/>
              <w:right w:val="single" w:sz="4" w:space="0" w:color="000000"/>
            </w:tcBorders>
            <w:shd w:val="clear" w:color="auto" w:fill="auto"/>
            <w:vAlign w:val="center"/>
          </w:tcPr>
          <w:p w14:paraId="62265C76" w14:textId="77777777" w:rsidR="002862B1" w:rsidRDefault="002862B1">
            <w:pPr>
              <w:spacing w:after="0" w:line="240" w:lineRule="auto"/>
              <w:jc w:val="both"/>
              <w:rPr>
                <w:color w:val="000000"/>
                <w:sz w:val="20"/>
                <w:szCs w:val="20"/>
              </w:rPr>
            </w:pPr>
          </w:p>
        </w:tc>
      </w:tr>
    </w:tbl>
    <w:p w14:paraId="08D4B7BE" w14:textId="77777777" w:rsidR="002862B1" w:rsidRDefault="002862B1">
      <w:pPr>
        <w:spacing w:before="240" w:after="240"/>
        <w:jc w:val="both"/>
        <w:rPr>
          <w:rFonts w:ascii="gobCL" w:eastAsia="gobCL" w:hAnsi="gobCL" w:cs="gobCL"/>
          <w:sz w:val="20"/>
          <w:szCs w:val="20"/>
        </w:rPr>
      </w:pPr>
    </w:p>
    <w:p w14:paraId="63999DE8" w14:textId="77777777" w:rsidR="002862B1" w:rsidRDefault="007C48F8">
      <w:pPr>
        <w:jc w:val="center"/>
        <w:rPr>
          <w:rFonts w:ascii="gobCL" w:eastAsia="gobCL" w:hAnsi="gobCL" w:cs="gobCL"/>
          <w:sz w:val="20"/>
          <w:szCs w:val="20"/>
        </w:rPr>
      </w:pPr>
      <w:r>
        <w:br w:type="page"/>
      </w:r>
    </w:p>
    <w:p w14:paraId="174BBBBA" w14:textId="77777777" w:rsidR="002862B1" w:rsidRDefault="007C48F8">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Pr>
          <w:rFonts w:ascii="gobCL" w:eastAsia="gobCL" w:hAnsi="gobCL" w:cs="gobCL"/>
          <w:b/>
          <w:color w:val="000000"/>
          <w:sz w:val="20"/>
          <w:szCs w:val="20"/>
        </w:rPr>
        <w:lastRenderedPageBreak/>
        <w:t>ANEXO N°3</w:t>
      </w:r>
    </w:p>
    <w:p w14:paraId="4F6D9E5E" w14:textId="77777777" w:rsidR="002862B1"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Pr>
          <w:rFonts w:ascii="gobCL" w:eastAsia="gobCL" w:hAnsi="gobCL" w:cs="gobCL"/>
          <w:b/>
          <w:color w:val="000000"/>
          <w:sz w:val="20"/>
          <w:szCs w:val="20"/>
        </w:rPr>
        <w:t>DECLARACIÓN JURADA SIMPLE DE NO CONSANGUINEIDAD</w:t>
      </w:r>
    </w:p>
    <w:p w14:paraId="22BEDEF8" w14:textId="77777777" w:rsidR="002862B1" w:rsidRDefault="007C48F8">
      <w:pPr>
        <w:jc w:val="center"/>
        <w:rPr>
          <w:rFonts w:ascii="gobCL" w:eastAsia="gobCL" w:hAnsi="gobCL" w:cs="gobCL"/>
          <w:b/>
          <w:sz w:val="20"/>
          <w:szCs w:val="20"/>
        </w:rPr>
      </w:pPr>
      <w:r>
        <w:rPr>
          <w:rFonts w:ascii="gobCL" w:eastAsia="gobCL" w:hAnsi="gobCL" w:cs="gobCL"/>
          <w:b/>
          <w:sz w:val="20"/>
          <w:szCs w:val="20"/>
        </w:rPr>
        <w:t>EN LA RENDICIÓN DE LOS GASTOS</w:t>
      </w:r>
    </w:p>
    <w:p w14:paraId="0F7C927C" w14:textId="77777777" w:rsidR="002862B1" w:rsidRDefault="002862B1">
      <w:pPr>
        <w:jc w:val="center"/>
        <w:rPr>
          <w:rFonts w:ascii="gobCL" w:eastAsia="gobCL" w:hAnsi="gobCL" w:cs="gobCL"/>
          <w:b/>
          <w:sz w:val="20"/>
          <w:szCs w:val="20"/>
        </w:rPr>
      </w:pPr>
    </w:p>
    <w:p w14:paraId="390C4FFA" w14:textId="77777777" w:rsidR="002862B1" w:rsidRDefault="007C48F8">
      <w:pPr>
        <w:jc w:val="both"/>
        <w:rPr>
          <w:rFonts w:ascii="gobCL" w:eastAsia="gobCL" w:hAnsi="gobCL" w:cs="gobCL"/>
          <w:sz w:val="20"/>
          <w:szCs w:val="20"/>
        </w:rPr>
      </w:pPr>
      <w:r>
        <w:rPr>
          <w:rFonts w:ascii="gobCL" w:eastAsia="gobCL" w:hAnsi="gobCL" w:cs="gobCL"/>
          <w:sz w:val="20"/>
          <w:szCs w:val="20"/>
        </w:rPr>
        <w:t>En___________, a _______de_________________________ de 2020, don/ña _____________________, cédula de identidad Nº______________, participante del proyecto ____________________ declara que:</w:t>
      </w:r>
    </w:p>
    <w:p w14:paraId="2864F4C0" w14:textId="77777777" w:rsidR="002862B1" w:rsidRDefault="007C48F8">
      <w:pPr>
        <w:numPr>
          <w:ilvl w:val="0"/>
          <w:numId w:val="3"/>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ítem de </w:t>
      </w:r>
      <w:r>
        <w:rPr>
          <w:rFonts w:ascii="gobCL" w:eastAsia="gobCL" w:hAnsi="gobCL" w:cs="gobCL"/>
          <w:sz w:val="20"/>
          <w:szCs w:val="20"/>
          <w:u w:val="single"/>
        </w:rPr>
        <w:t xml:space="preserve">Activos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mis propios bienes, de socios, de representantes legales, ni tampoco de respectivos cónyuges, </w:t>
      </w:r>
      <w:r>
        <w:rPr>
          <w:rFonts w:ascii="gobCL" w:eastAsia="gobCL" w:hAnsi="gobCL" w:cs="gobCL"/>
          <w:color w:val="000000"/>
          <w:sz w:val="20"/>
          <w:szCs w:val="20"/>
        </w:rPr>
        <w:t xml:space="preserve">conviviente civil </w:t>
      </w:r>
      <w:r>
        <w:rPr>
          <w:rFonts w:ascii="gobCL" w:eastAsia="gobCL" w:hAnsi="gobCL" w:cs="gobCL"/>
          <w:sz w:val="20"/>
          <w:szCs w:val="20"/>
        </w:rPr>
        <w:t>y parientes por consanguineidad y afinidad hasta el segundo grado inclusive (por ejemplo, hijos, padres, abuelos, hermanos).</w:t>
      </w:r>
    </w:p>
    <w:p w14:paraId="440E35CD" w14:textId="77777777" w:rsidR="002862B1" w:rsidRDefault="007C48F8">
      <w:pPr>
        <w:numPr>
          <w:ilvl w:val="0"/>
          <w:numId w:val="3"/>
        </w:numPr>
        <w:spacing w:after="200" w:line="276" w:lineRule="auto"/>
        <w:jc w:val="both"/>
        <w:rPr>
          <w:rFonts w:ascii="gobCL" w:eastAsia="gobCL" w:hAnsi="gobCL" w:cs="gobCL"/>
          <w:sz w:val="20"/>
          <w:szCs w:val="20"/>
        </w:rPr>
      </w:pPr>
      <w:r>
        <w:rPr>
          <w:rFonts w:ascii="gobCL" w:eastAsia="gobCL" w:hAnsi="gobCL" w:cs="gobCL"/>
          <w:sz w:val="20"/>
          <w:szCs w:val="20"/>
        </w:rPr>
        <w:t>El gasto rendido asociado al servicio de flete derivados de la compra y traslado de activos fijos y capital de trabajo</w:t>
      </w:r>
      <w:r>
        <w:rPr>
          <w:rFonts w:ascii="gobCL" w:eastAsia="gobCL" w:hAnsi="gobCL" w:cs="gobCL"/>
          <w:sz w:val="20"/>
          <w:szCs w:val="20"/>
          <w:u w:val="single"/>
        </w:rPr>
        <w:t xml:space="preserve"> </w:t>
      </w:r>
      <w:r>
        <w:rPr>
          <w:rFonts w:ascii="gobCL" w:eastAsia="gobCL" w:hAnsi="gobCL" w:cs="gobCL"/>
          <w:b/>
          <w:sz w:val="20"/>
          <w:szCs w:val="20"/>
          <w:u w:val="single"/>
        </w:rPr>
        <w:t>NO</w:t>
      </w:r>
      <w:r>
        <w:rPr>
          <w:rFonts w:ascii="gobCL" w:eastAsia="gobCL" w:hAnsi="gobCL" w:cs="gobCL"/>
          <w:sz w:val="20"/>
          <w:szCs w:val="20"/>
          <w:u w:val="single"/>
        </w:rPr>
        <w:t xml:space="preserve"> corresponde al pago</w:t>
      </w:r>
      <w:r>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Default="007C48F8">
      <w:pPr>
        <w:numPr>
          <w:ilvl w:val="0"/>
          <w:numId w:val="3"/>
        </w:numPr>
        <w:spacing w:after="200" w:line="276" w:lineRule="auto"/>
        <w:jc w:val="both"/>
        <w:rPr>
          <w:rFonts w:ascii="gobCL" w:eastAsia="gobCL" w:hAnsi="gobCL" w:cs="gobCL"/>
          <w:sz w:val="20"/>
          <w:szCs w:val="20"/>
        </w:rPr>
      </w:pPr>
      <w:r>
        <w:rPr>
          <w:rFonts w:ascii="gobCL" w:eastAsia="gobCL" w:hAnsi="gobCL" w:cs="gobCL"/>
          <w:sz w:val="20"/>
          <w:szCs w:val="20"/>
        </w:rPr>
        <w:t>El gasto rendido en ítem de</w:t>
      </w:r>
      <w:r>
        <w:rPr>
          <w:sz w:val="20"/>
          <w:szCs w:val="20"/>
        </w:rPr>
        <w:t> </w:t>
      </w:r>
      <w:r>
        <w:rPr>
          <w:rFonts w:ascii="gobCL" w:eastAsia="gobCL" w:hAnsi="gobCL" w:cs="gobCL"/>
          <w:sz w:val="20"/>
          <w:szCs w:val="20"/>
          <w:u w:val="single"/>
        </w:rPr>
        <w:t xml:space="preserve">contrataciones </w:t>
      </w:r>
      <w:r>
        <w:rPr>
          <w:rFonts w:ascii="gobCL" w:eastAsia="gobCL" w:hAnsi="gobCL" w:cs="gobCL"/>
          <w:b/>
          <w:sz w:val="20"/>
          <w:szCs w:val="20"/>
          <w:u w:val="single"/>
        </w:rPr>
        <w:t xml:space="preserve">NO </w:t>
      </w:r>
      <w:r>
        <w:rPr>
          <w:rFonts w:ascii="gobCL" w:eastAsia="gobCL" w:hAnsi="gobCL" w:cs="gobCL"/>
          <w:sz w:val="20"/>
          <w:szCs w:val="20"/>
          <w:u w:val="single"/>
        </w:rPr>
        <w:t xml:space="preserve">corresponde </w:t>
      </w:r>
      <w:r>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Default="007C48F8">
      <w:pPr>
        <w:numPr>
          <w:ilvl w:val="0"/>
          <w:numId w:val="3"/>
        </w:numPr>
        <w:spacing w:after="200" w:line="276" w:lineRule="auto"/>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arriendos</w:t>
      </w:r>
      <w:r>
        <w:rPr>
          <w:rFonts w:ascii="gobCL" w:eastAsia="gobCL" w:hAnsi="gobCL" w:cs="gobCL"/>
          <w:sz w:val="20"/>
          <w:szCs w:val="20"/>
        </w:rPr>
        <w:t xml:space="preserve"> de bienes raíces (industriales, comerciales o agrícolas), y/o maquinarias necesarias para el desarrollo del proyecto,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Default="007C48F8">
      <w:pPr>
        <w:numPr>
          <w:ilvl w:val="0"/>
          <w:numId w:val="3"/>
        </w:numPr>
        <w:spacing w:after="200" w:line="276" w:lineRule="auto"/>
        <w:ind w:left="709"/>
        <w:jc w:val="both"/>
        <w:rPr>
          <w:rFonts w:ascii="gobCL" w:eastAsia="gobCL" w:hAnsi="gobCL" w:cs="gobCL"/>
          <w:sz w:val="20"/>
          <w:szCs w:val="20"/>
        </w:rPr>
      </w:pPr>
      <w:r>
        <w:rPr>
          <w:rFonts w:ascii="gobCL" w:eastAsia="gobCL" w:hAnsi="gobCL" w:cs="gobCL"/>
          <w:sz w:val="20"/>
          <w:szCs w:val="20"/>
        </w:rPr>
        <w:t xml:space="preserve">El gasto rendido en el ítem </w:t>
      </w:r>
      <w:r>
        <w:rPr>
          <w:rFonts w:ascii="gobCL" w:eastAsia="gobCL" w:hAnsi="gobCL" w:cs="gobCL"/>
          <w:sz w:val="20"/>
          <w:szCs w:val="20"/>
          <w:u w:val="single"/>
        </w:rPr>
        <w:t>materias primas, materiales y mercadería</w:t>
      </w:r>
      <w:r>
        <w:rPr>
          <w:rFonts w:ascii="gobCL" w:eastAsia="gobCL" w:hAnsi="gobCL" w:cs="gobCL"/>
          <w:sz w:val="20"/>
          <w:szCs w:val="20"/>
        </w:rPr>
        <w:t xml:space="preserve">, </w:t>
      </w:r>
      <w:r>
        <w:rPr>
          <w:rFonts w:ascii="gobCL" w:eastAsia="gobCL" w:hAnsi="gobCL" w:cs="gobCL"/>
          <w:b/>
          <w:sz w:val="20"/>
          <w:szCs w:val="20"/>
          <w:u w:val="single"/>
        </w:rPr>
        <w:t xml:space="preserve">NO </w:t>
      </w:r>
      <w:r>
        <w:rPr>
          <w:rFonts w:ascii="gobCL" w:eastAsia="gobCL" w:hAnsi="gobCL" w:cs="gobCL"/>
          <w:sz w:val="20"/>
          <w:szCs w:val="20"/>
          <w:u w:val="single"/>
        </w:rPr>
        <w:t>corresponde</w:t>
      </w:r>
      <w:r>
        <w:rPr>
          <w:rFonts w:ascii="gobCL" w:eastAsia="gobCL" w:hAnsi="gobCL" w:cs="gobCL"/>
          <w:sz w:val="20"/>
          <w:szCs w:val="20"/>
        </w:rPr>
        <w:t xml:space="preserve"> a bienes propios ni de alguno de los socios/as, representantes legales ni tampoco de sus respectivos cónyuges, </w:t>
      </w:r>
      <w:r>
        <w:rPr>
          <w:rFonts w:ascii="gobCL" w:eastAsia="gobCL" w:hAnsi="gobCL" w:cs="gobCL"/>
          <w:color w:val="000000"/>
          <w:sz w:val="20"/>
          <w:szCs w:val="20"/>
        </w:rPr>
        <w:t>conviviente civil</w:t>
      </w:r>
      <w:r>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Default="007C48F8">
      <w:pPr>
        <w:ind w:left="1065"/>
        <w:jc w:val="both"/>
        <w:rPr>
          <w:rFonts w:ascii="gobCL" w:eastAsia="gobCL" w:hAnsi="gobCL" w:cs="gobCL"/>
          <w:sz w:val="20"/>
          <w:szCs w:val="20"/>
        </w:rPr>
      </w:pPr>
      <w:r>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14:paraId="58CB9DDD" w14:textId="77777777">
        <w:tc>
          <w:tcPr>
            <w:tcW w:w="540" w:type="dxa"/>
          </w:tcPr>
          <w:p w14:paraId="049E9EC7" w14:textId="77777777" w:rsidR="002862B1" w:rsidRDefault="002862B1">
            <w:pPr>
              <w:spacing w:after="200" w:line="276" w:lineRule="auto"/>
              <w:rPr>
                <w:rFonts w:ascii="gobCL" w:eastAsia="gobCL" w:hAnsi="gobCL" w:cs="gobCL"/>
              </w:rPr>
            </w:pPr>
          </w:p>
        </w:tc>
        <w:tc>
          <w:tcPr>
            <w:tcW w:w="626" w:type="dxa"/>
          </w:tcPr>
          <w:p w14:paraId="543DEFAA" w14:textId="77777777" w:rsidR="002862B1"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Default="002862B1">
            <w:pPr>
              <w:spacing w:after="200" w:line="276" w:lineRule="auto"/>
              <w:rPr>
                <w:rFonts w:ascii="gobCL" w:eastAsia="gobCL" w:hAnsi="gobCL" w:cs="gobCL"/>
              </w:rPr>
            </w:pPr>
          </w:p>
        </w:tc>
      </w:tr>
      <w:tr w:rsidR="002862B1" w14:paraId="0D7B2F50" w14:textId="77777777">
        <w:tc>
          <w:tcPr>
            <w:tcW w:w="540" w:type="dxa"/>
          </w:tcPr>
          <w:p w14:paraId="167408FF" w14:textId="77777777" w:rsidR="002862B1" w:rsidRDefault="002862B1">
            <w:pPr>
              <w:spacing w:after="200" w:line="276" w:lineRule="auto"/>
              <w:rPr>
                <w:rFonts w:ascii="gobCL" w:eastAsia="gobCL" w:hAnsi="gobCL" w:cs="gobCL"/>
              </w:rPr>
            </w:pPr>
          </w:p>
        </w:tc>
        <w:tc>
          <w:tcPr>
            <w:tcW w:w="626" w:type="dxa"/>
          </w:tcPr>
          <w:p w14:paraId="7C89CCB7" w14:textId="77777777" w:rsidR="002862B1" w:rsidRDefault="002862B1">
            <w:pPr>
              <w:spacing w:after="200" w:line="276" w:lineRule="auto"/>
              <w:rPr>
                <w:rFonts w:ascii="gobCL" w:eastAsia="gobCL" w:hAnsi="gobCL" w:cs="gobCL"/>
              </w:rPr>
            </w:pPr>
          </w:p>
        </w:tc>
        <w:tc>
          <w:tcPr>
            <w:tcW w:w="2831" w:type="dxa"/>
          </w:tcPr>
          <w:p w14:paraId="4D7F7D85" w14:textId="77777777" w:rsidR="002862B1" w:rsidRDefault="007C48F8">
            <w:pPr>
              <w:rPr>
                <w:rFonts w:ascii="gobCL" w:eastAsia="gobCL" w:hAnsi="gobCL" w:cs="gobCL"/>
                <w:b/>
              </w:rPr>
            </w:pPr>
            <w:r>
              <w:rPr>
                <w:rFonts w:ascii="gobCL" w:eastAsia="gobCL" w:hAnsi="gobCL" w:cs="gobCL"/>
                <w:b/>
              </w:rPr>
              <w:t xml:space="preserve">Nombre y Firma </w:t>
            </w:r>
          </w:p>
          <w:p w14:paraId="2EFF26AB" w14:textId="77777777" w:rsidR="002862B1" w:rsidRDefault="007C48F8">
            <w:pPr>
              <w:spacing w:after="200" w:line="276" w:lineRule="auto"/>
              <w:rPr>
                <w:rFonts w:ascii="gobCL" w:eastAsia="gobCL" w:hAnsi="gobCL" w:cs="gobCL"/>
              </w:rPr>
            </w:pPr>
            <w:r>
              <w:rPr>
                <w:rFonts w:ascii="gobCL" w:eastAsia="gobCL" w:hAnsi="gobCL" w:cs="gobCL"/>
                <w:b/>
              </w:rPr>
              <w:t>RUT</w:t>
            </w:r>
          </w:p>
        </w:tc>
      </w:tr>
    </w:tbl>
    <w:p w14:paraId="49D2C496" w14:textId="1F35604F" w:rsidR="002862B1" w:rsidRDefault="002862B1">
      <w:pPr>
        <w:jc w:val="center"/>
        <w:rPr>
          <w:rFonts w:ascii="gobCL" w:eastAsia="gobCL" w:hAnsi="gobCL" w:cs="gobCL"/>
          <w:b/>
          <w:sz w:val="20"/>
          <w:szCs w:val="20"/>
        </w:rPr>
      </w:pPr>
    </w:p>
    <w:p w14:paraId="5DBC7FAE" w14:textId="237B0CE8" w:rsidR="00BB1F54" w:rsidRDefault="00BB1F54">
      <w:pPr>
        <w:jc w:val="center"/>
        <w:rPr>
          <w:rFonts w:ascii="gobCL" w:eastAsia="gobCL" w:hAnsi="gobCL" w:cs="gobCL"/>
          <w:b/>
          <w:sz w:val="20"/>
          <w:szCs w:val="20"/>
        </w:rPr>
      </w:pPr>
    </w:p>
    <w:p w14:paraId="42AAD9D4" w14:textId="2F7360AD" w:rsidR="00BB1F54" w:rsidRDefault="00BB1F54">
      <w:pPr>
        <w:jc w:val="center"/>
        <w:rPr>
          <w:rFonts w:ascii="gobCL" w:eastAsia="gobCL" w:hAnsi="gobCL" w:cs="gobCL"/>
          <w:b/>
          <w:sz w:val="20"/>
          <w:szCs w:val="20"/>
        </w:rPr>
      </w:pPr>
    </w:p>
    <w:p w14:paraId="78508B56" w14:textId="44FE4ED0" w:rsidR="00BB1F54" w:rsidRDefault="00BB1F54">
      <w:pPr>
        <w:jc w:val="center"/>
        <w:rPr>
          <w:rFonts w:ascii="gobCL" w:eastAsia="gobCL" w:hAnsi="gobCL" w:cs="gobCL"/>
          <w:b/>
          <w:sz w:val="20"/>
          <w:szCs w:val="20"/>
        </w:rPr>
      </w:pPr>
    </w:p>
    <w:p w14:paraId="6B22630B" w14:textId="213E82E7" w:rsidR="00BB1F54" w:rsidRDefault="00BB1F54">
      <w:pPr>
        <w:jc w:val="center"/>
        <w:rPr>
          <w:rFonts w:ascii="gobCL" w:eastAsia="gobCL" w:hAnsi="gobCL" w:cs="gobCL"/>
          <w:b/>
          <w:sz w:val="20"/>
          <w:szCs w:val="20"/>
        </w:rPr>
      </w:pPr>
    </w:p>
    <w:p w14:paraId="76308C97" w14:textId="77777777" w:rsidR="00BB1F54" w:rsidRDefault="00BB1F54">
      <w:pPr>
        <w:jc w:val="center"/>
        <w:rPr>
          <w:rFonts w:ascii="gobCL" w:eastAsia="gobCL" w:hAnsi="gobCL" w:cs="gobCL"/>
          <w:b/>
          <w:sz w:val="20"/>
          <w:szCs w:val="20"/>
        </w:rPr>
      </w:pPr>
    </w:p>
    <w:p w14:paraId="35CC94FF" w14:textId="77777777" w:rsidR="002862B1" w:rsidRDefault="007C48F8" w:rsidP="00C33797">
      <w:pPr>
        <w:jc w:val="center"/>
        <w:rPr>
          <w:rFonts w:ascii="gobCL" w:eastAsia="gobCL" w:hAnsi="gobCL" w:cs="gobCL"/>
          <w:b/>
          <w:sz w:val="20"/>
          <w:szCs w:val="20"/>
        </w:rPr>
      </w:pPr>
      <w:r>
        <w:rPr>
          <w:rFonts w:ascii="gobCL" w:eastAsia="gobCL" w:hAnsi="gobCL" w:cs="gobCL"/>
          <w:b/>
          <w:sz w:val="20"/>
          <w:szCs w:val="20"/>
        </w:rPr>
        <w:lastRenderedPageBreak/>
        <w:t>ANEXO N° 4</w:t>
      </w:r>
    </w:p>
    <w:p w14:paraId="047CC0B3" w14:textId="77777777" w:rsidR="002862B1" w:rsidRDefault="007C48F8">
      <w:pPr>
        <w:spacing w:before="240" w:after="240"/>
        <w:jc w:val="center"/>
        <w:rPr>
          <w:rFonts w:ascii="gobCL" w:eastAsia="gobCL" w:hAnsi="gobCL" w:cs="gobCL"/>
          <w:b/>
          <w:sz w:val="20"/>
          <w:szCs w:val="20"/>
          <w:u w:val="single"/>
        </w:rPr>
      </w:pPr>
      <w:r>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14:paraId="264EC575" w14:textId="77777777">
        <w:trPr>
          <w:trHeight w:val="8127"/>
        </w:trPr>
        <w:tc>
          <w:tcPr>
            <w:tcW w:w="8337" w:type="dxa"/>
            <w:shd w:val="clear" w:color="auto" w:fill="auto"/>
          </w:tcPr>
          <w:p w14:paraId="40F94022" w14:textId="77777777" w:rsidR="002862B1" w:rsidRDefault="007C48F8">
            <w:pPr>
              <w:pBdr>
                <w:top w:val="nil"/>
                <w:left w:val="nil"/>
                <w:bottom w:val="nil"/>
                <w:right w:val="nil"/>
                <w:between w:val="nil"/>
              </w:pBdr>
              <w:spacing w:line="480" w:lineRule="auto"/>
              <w:rPr>
                <w:rFonts w:ascii="gobCL" w:eastAsia="gobCL" w:hAnsi="gobCL" w:cs="gobCL"/>
                <w:color w:val="000000"/>
              </w:rPr>
            </w:pPr>
            <w:r>
              <w:rPr>
                <w:rFonts w:ascii="gobCL" w:eastAsia="gobCL" w:hAnsi="gobCL" w:cs="gobCL"/>
                <w:color w:val="000000"/>
              </w:rPr>
              <w:t>A través de la presente, Yo: _________________________________________________________</w:t>
            </w:r>
          </w:p>
          <w:p w14:paraId="351E3F87" w14:textId="51639EA6" w:rsidR="002862B1" w:rsidRDefault="007C48F8">
            <w:pPr>
              <w:spacing w:before="240" w:after="240"/>
              <w:ind w:left="37"/>
              <w:jc w:val="both"/>
              <w:rPr>
                <w:rFonts w:ascii="gobCL" w:eastAsia="gobCL" w:hAnsi="gobCL" w:cs="gobCL"/>
              </w:rPr>
            </w:pPr>
            <w:r>
              <w:rPr>
                <w:rFonts w:ascii="gobCL" w:eastAsia="gobCL" w:hAnsi="gobCL" w:cs="gobCL"/>
              </w:rPr>
              <w:t>Rut:____________________________________ declaro NO afectar el principio de probidad del PROGRAMA ESPECIAL DE EMERGENCIA PRODUCTIVA REACTÍVATE CON SERCOTEC</w:t>
            </w:r>
            <w:r w:rsidR="00A37DE7">
              <w:rPr>
                <w:rFonts w:ascii="gobCL" w:eastAsia="gobCL" w:hAnsi="gobCL" w:cs="gobCL"/>
              </w:rPr>
              <w:t xml:space="preserve"> “RENACE AYSÉN”</w:t>
            </w:r>
            <w:r>
              <w:rPr>
                <w:rFonts w:ascii="gobCL" w:eastAsia="gobCL" w:hAnsi="gobCL" w:cs="gobCL"/>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Pr>
                <w:rFonts w:ascii="gobCL" w:eastAsia="gobCL" w:hAnsi="gobCL" w:cs="gobCL"/>
              </w:rPr>
              <w:tab/>
            </w:r>
          </w:p>
          <w:p w14:paraId="6477FC73" w14:textId="77777777" w:rsidR="002862B1" w:rsidRDefault="002862B1">
            <w:pPr>
              <w:spacing w:before="240" w:after="240"/>
              <w:jc w:val="both"/>
              <w:rPr>
                <w:rFonts w:ascii="gobCL" w:eastAsia="gobCL" w:hAnsi="gobCL" w:cs="gobCL"/>
              </w:rPr>
            </w:pPr>
          </w:p>
          <w:p w14:paraId="6A1CC2E2" w14:textId="77777777" w:rsidR="002862B1" w:rsidRDefault="002862B1">
            <w:pPr>
              <w:spacing w:before="240" w:after="240"/>
              <w:jc w:val="both"/>
              <w:rPr>
                <w:rFonts w:ascii="gobCL" w:eastAsia="gobCL" w:hAnsi="gobCL" w:cs="gobCL"/>
              </w:rPr>
            </w:pPr>
          </w:p>
          <w:p w14:paraId="6C6D42A6" w14:textId="77777777" w:rsidR="002862B1" w:rsidRDefault="002862B1">
            <w:pPr>
              <w:pBdr>
                <w:bottom w:val="single" w:sz="12" w:space="1" w:color="000000"/>
              </w:pBdr>
              <w:spacing w:before="240" w:after="240"/>
              <w:jc w:val="both"/>
              <w:rPr>
                <w:rFonts w:ascii="gobCL" w:eastAsia="gobCL" w:hAnsi="gobCL" w:cs="gobCL"/>
              </w:rPr>
            </w:pPr>
          </w:p>
          <w:p w14:paraId="36A2BF62" w14:textId="77777777" w:rsidR="002862B1" w:rsidRDefault="007C48F8">
            <w:pPr>
              <w:spacing w:before="240" w:after="240"/>
              <w:jc w:val="both"/>
              <w:rPr>
                <w:rFonts w:ascii="gobCL" w:eastAsia="gobCL" w:hAnsi="gobCL" w:cs="gobCL"/>
              </w:rPr>
            </w:pPr>
            <w:r>
              <w:rPr>
                <w:rFonts w:ascii="gobCL" w:eastAsia="gobCL" w:hAnsi="gobCL" w:cs="gobCL"/>
              </w:rPr>
              <w:t>Beneficiario/a:</w:t>
            </w:r>
          </w:p>
          <w:p w14:paraId="1C94EDCB" w14:textId="77777777" w:rsidR="002862B1" w:rsidRDefault="002862B1">
            <w:pPr>
              <w:spacing w:before="240" w:after="240"/>
              <w:jc w:val="both"/>
              <w:rPr>
                <w:rFonts w:ascii="gobCL" w:eastAsia="gobCL" w:hAnsi="gobCL" w:cs="gobCL"/>
              </w:rPr>
            </w:pPr>
          </w:p>
          <w:p w14:paraId="18733A66" w14:textId="77777777" w:rsidR="002862B1" w:rsidRDefault="007C48F8">
            <w:pPr>
              <w:spacing w:before="240" w:after="240"/>
              <w:jc w:val="both"/>
              <w:rPr>
                <w:rFonts w:ascii="gobCL" w:eastAsia="gobCL" w:hAnsi="gobCL" w:cs="gobCL"/>
              </w:rPr>
            </w:pPr>
            <w:r>
              <w:rPr>
                <w:rFonts w:ascii="gobCL" w:eastAsia="gobCL" w:hAnsi="gobCL" w:cs="gobCL"/>
              </w:rPr>
              <w:t>Sr./a:………………………………………………………………….</w:t>
            </w:r>
          </w:p>
          <w:p w14:paraId="179410A2" w14:textId="77777777" w:rsidR="002862B1" w:rsidRDefault="002862B1">
            <w:pPr>
              <w:spacing w:before="240" w:after="240"/>
              <w:jc w:val="both"/>
              <w:rPr>
                <w:rFonts w:ascii="gobCL" w:eastAsia="gobCL" w:hAnsi="gobCL" w:cs="gobCL"/>
              </w:rPr>
            </w:pPr>
          </w:p>
        </w:tc>
      </w:tr>
    </w:tbl>
    <w:p w14:paraId="36F9F298" w14:textId="77777777" w:rsidR="002862B1" w:rsidRDefault="002862B1">
      <w:pPr>
        <w:rPr>
          <w:rFonts w:ascii="gobCL" w:eastAsia="gobCL" w:hAnsi="gobCL" w:cs="gobCL"/>
          <w:sz w:val="20"/>
          <w:szCs w:val="20"/>
        </w:rPr>
      </w:pPr>
    </w:p>
    <w:p w14:paraId="2DDC89EF" w14:textId="77777777" w:rsidR="002862B1" w:rsidRDefault="002862B1">
      <w:pPr>
        <w:jc w:val="center"/>
        <w:rPr>
          <w:rFonts w:ascii="gobCL" w:eastAsia="gobCL" w:hAnsi="gobCL" w:cs="gobCL"/>
          <w:b/>
          <w:sz w:val="20"/>
          <w:szCs w:val="20"/>
        </w:rPr>
      </w:pPr>
    </w:p>
    <w:p w14:paraId="00A47211" w14:textId="77777777" w:rsidR="002862B1" w:rsidRDefault="002862B1">
      <w:pPr>
        <w:jc w:val="center"/>
        <w:rPr>
          <w:rFonts w:ascii="gobCL" w:eastAsia="gobCL" w:hAnsi="gobCL" w:cs="gobCL"/>
          <w:b/>
          <w:sz w:val="20"/>
          <w:szCs w:val="20"/>
        </w:rPr>
      </w:pPr>
    </w:p>
    <w:p w14:paraId="3FB89A4B" w14:textId="77777777" w:rsidR="002862B1" w:rsidRDefault="002862B1">
      <w:pPr>
        <w:jc w:val="center"/>
        <w:rPr>
          <w:rFonts w:ascii="gobCL" w:eastAsia="gobCL" w:hAnsi="gobCL" w:cs="gobCL"/>
          <w:b/>
          <w:sz w:val="20"/>
          <w:szCs w:val="20"/>
        </w:rPr>
      </w:pPr>
    </w:p>
    <w:p w14:paraId="2803F7DB" w14:textId="77777777" w:rsidR="002862B1" w:rsidRDefault="002862B1">
      <w:pPr>
        <w:jc w:val="center"/>
        <w:rPr>
          <w:rFonts w:ascii="gobCL" w:eastAsia="gobCL" w:hAnsi="gobCL" w:cs="gobCL"/>
          <w:b/>
          <w:sz w:val="20"/>
          <w:szCs w:val="20"/>
        </w:rPr>
      </w:pPr>
    </w:p>
    <w:p w14:paraId="3B484BE0" w14:textId="77777777" w:rsidR="002862B1" w:rsidRDefault="002862B1">
      <w:pPr>
        <w:jc w:val="center"/>
        <w:rPr>
          <w:rFonts w:ascii="gobCL" w:eastAsia="gobCL" w:hAnsi="gobCL" w:cs="gobCL"/>
          <w:b/>
          <w:sz w:val="20"/>
          <w:szCs w:val="20"/>
        </w:rPr>
      </w:pPr>
    </w:p>
    <w:sectPr w:rsidR="002862B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6D759" w14:textId="77777777" w:rsidR="00C07A7F" w:rsidRDefault="00C07A7F">
      <w:pPr>
        <w:spacing w:after="0" w:line="240" w:lineRule="auto"/>
      </w:pPr>
      <w:r>
        <w:separator/>
      </w:r>
    </w:p>
  </w:endnote>
  <w:endnote w:type="continuationSeparator" w:id="0">
    <w:p w14:paraId="0730DE93" w14:textId="77777777" w:rsidR="00C07A7F" w:rsidRDefault="00C0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Athelas Italic"/>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gobCL">
    <w:altName w:val="Arial"/>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1E28F" w14:textId="77777777" w:rsidR="00C07A7F" w:rsidRDefault="00C07A7F">
      <w:pPr>
        <w:spacing w:after="0" w:line="240" w:lineRule="auto"/>
      </w:pPr>
      <w:r>
        <w:separator/>
      </w:r>
    </w:p>
  </w:footnote>
  <w:footnote w:type="continuationSeparator" w:id="0">
    <w:p w14:paraId="00EF66AF" w14:textId="77777777" w:rsidR="00C07A7F" w:rsidRDefault="00C07A7F">
      <w:pPr>
        <w:spacing w:after="0" w:line="240" w:lineRule="auto"/>
      </w:pPr>
      <w:r>
        <w:continuationSeparator/>
      </w:r>
    </w:p>
  </w:footnote>
  <w:footnote w:id="1">
    <w:p w14:paraId="7CE34ED9" w14:textId="77777777" w:rsidR="005A0661" w:rsidRDefault="005A0661">
      <w:pPr>
        <w:spacing w:after="0" w:line="240" w:lineRule="auto"/>
        <w:rPr>
          <w:rFonts w:ascii="gobCL" w:eastAsia="gobCL" w:hAnsi="gobCL" w:cs="gobCL"/>
          <w:sz w:val="18"/>
          <w:szCs w:val="18"/>
        </w:rPr>
      </w:pPr>
      <w:r>
        <w:rPr>
          <w:vertAlign w:val="superscript"/>
        </w:rPr>
        <w:footnoteRef/>
      </w:r>
      <w:r>
        <w:rPr>
          <w:rFonts w:ascii="gobCL" w:eastAsia="gobCL" w:hAnsi="gobCL" w:cs="gobCL"/>
          <w:sz w:val="18"/>
          <w:szCs w:val="18"/>
        </w:rPr>
        <w:t xml:space="preserve"> Este requisito se verificará al momento de la formalización a través de declaración jurada (Anexo N° 4).</w:t>
      </w:r>
    </w:p>
  </w:footnote>
  <w:footnote w:id="2">
    <w:p w14:paraId="43AB7843" w14:textId="14606AEC" w:rsidR="005A0661" w:rsidRPr="0017165A" w:rsidRDefault="005A0661">
      <w:pPr>
        <w:pStyle w:val="Textonotapie"/>
      </w:pPr>
      <w:r>
        <w:rPr>
          <w:rStyle w:val="Refdenotaalpie"/>
        </w:rPr>
        <w:footnoteRef/>
      </w:r>
      <w:r>
        <w:t xml:space="preserve"> Sercotec podrá corroborar que la empresa no se haya acogido a la Ley 21.227 en </w:t>
      </w:r>
      <w:hyperlink r:id="rId1" w:history="1">
        <w:r w:rsidRPr="00A24C04">
          <w:rPr>
            <w:rStyle w:val="Hipervnculo"/>
          </w:rPr>
          <w:t>https://www.dt.gob.cl/portal/1626/w3-article-118613.html</w:t>
        </w:r>
      </w:hyperlink>
      <w:r>
        <w:t xml:space="preserve">. </w:t>
      </w:r>
    </w:p>
  </w:footnote>
  <w:footnote w:id="3">
    <w:p w14:paraId="4D46FB4F"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4">
    <w:p w14:paraId="3723E8E8"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5">
    <w:p w14:paraId="77AAD2A3"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6">
    <w:p w14:paraId="6F5FA68E"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7">
    <w:p w14:paraId="438592CB"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se configuran con a la hora oficial de Chile. </w:t>
      </w:r>
    </w:p>
  </w:footnote>
  <w:footnote w:id="8">
    <w:p w14:paraId="639023D8" w14:textId="77777777" w:rsidR="005A0661" w:rsidRPr="00C97970" w:rsidRDefault="005A0661" w:rsidP="002F0142">
      <w:pPr>
        <w:spacing w:after="0" w:line="240" w:lineRule="auto"/>
        <w:jc w:val="both"/>
        <w:rPr>
          <w:sz w:val="20"/>
          <w:szCs w:val="20"/>
        </w:rPr>
      </w:pPr>
      <w:r w:rsidRPr="00C97970">
        <w:rPr>
          <w:vertAlign w:val="superscript"/>
        </w:rPr>
        <w:footnoteRef/>
      </w:r>
      <w:r w:rsidRPr="00C97970">
        <w:rPr>
          <w:sz w:val="20"/>
          <w:szCs w:val="20"/>
        </w:rPr>
        <w:t xml:space="preserve"> Se considerarán como válidos otros documentos en que efectivamente sea posible extraer el dato de con cuántos trabajadores cuenta la empresa, siempre y cuando sean válidamente emitidos por una institución con injerencia en temas previsionales. Por ejemplo: pago de cotizaciones previsionales de AFP, IPS (ex INP), pago electrónico Previred, libro de remuneraciones, entre otros. </w:t>
      </w:r>
    </w:p>
  </w:footnote>
  <w:footnote w:id="9">
    <w:p w14:paraId="4B114F28" w14:textId="77777777" w:rsidR="005A0661" w:rsidRPr="00192985" w:rsidRDefault="005A0661" w:rsidP="003A0EDB">
      <w:pPr>
        <w:pStyle w:val="Textonotapie"/>
        <w:jc w:val="both"/>
        <w:rPr>
          <w:rFonts w:ascii="gobCL" w:hAnsi="gobCL"/>
          <w:lang w:val="es-ES"/>
        </w:rPr>
      </w:pPr>
      <w:r w:rsidRPr="00192985">
        <w:rPr>
          <w:rStyle w:val="Refdenotaalpie"/>
          <w:rFonts w:ascii="gobCL" w:hAnsi="gobCL"/>
          <w:sz w:val="18"/>
        </w:rPr>
        <w:footnoteRef/>
      </w:r>
      <w:r w:rsidRPr="00192985">
        <w:rPr>
          <w:rFonts w:ascii="gobCL" w:hAnsi="gobCL"/>
          <w:sz w:val="18"/>
        </w:rPr>
        <w:t xml:space="preserve"> Se entenderá por trabajadores formales, aquellos que cuentan con un contrato de trabajo con la empresa, y se consideran los contratados en el mes de </w:t>
      </w:r>
      <w:r>
        <w:rPr>
          <w:rFonts w:ascii="gobCL" w:hAnsi="gobCL"/>
          <w:sz w:val="18"/>
        </w:rPr>
        <w:t>marzo de 2020</w:t>
      </w:r>
      <w:r w:rsidRPr="00192985">
        <w:rPr>
          <w:rFonts w:ascii="gobCL" w:hAnsi="gobCL"/>
          <w:sz w:val="18"/>
        </w:rPr>
        <w:t>, verificado a través del certificado de pago de cotizaciones previsionales de la mutualidad a la que está adscrita la empresa, disponible en https://www.previred.com/web/previred/.</w:t>
      </w:r>
    </w:p>
  </w:footnote>
  <w:footnote w:id="10">
    <w:p w14:paraId="72059EB8" w14:textId="77777777" w:rsidR="005A0661" w:rsidRDefault="005A0661">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11800CF6"/>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A3D4B03"/>
    <w:multiLevelType w:val="multilevel"/>
    <w:tmpl w:val="028E535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BB6697"/>
    <w:multiLevelType w:val="multilevel"/>
    <w:tmpl w:val="C0482402"/>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7" w15:restartNumberingAfterBreak="0">
    <w:nsid w:val="3063700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8"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5"/>
  </w:num>
  <w:num w:numId="3">
    <w:abstractNumId w:val="8"/>
  </w:num>
  <w:num w:numId="4">
    <w:abstractNumId w:val="4"/>
  </w:num>
  <w:num w:numId="5">
    <w:abstractNumId w:val="11"/>
  </w:num>
  <w:num w:numId="6">
    <w:abstractNumId w:val="12"/>
  </w:num>
  <w:num w:numId="7">
    <w:abstractNumId w:val="7"/>
  </w:num>
  <w:num w:numId="8">
    <w:abstractNumId w:val="13"/>
  </w:num>
  <w:num w:numId="9">
    <w:abstractNumId w:val="1"/>
  </w:num>
  <w:num w:numId="10">
    <w:abstractNumId w:val="3"/>
  </w:num>
  <w:num w:numId="11">
    <w:abstractNumId w:val="0"/>
  </w:num>
  <w:num w:numId="12">
    <w:abstractNumId w:val="2"/>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21A91"/>
    <w:rsid w:val="00033AC4"/>
    <w:rsid w:val="00033F1A"/>
    <w:rsid w:val="00047716"/>
    <w:rsid w:val="000618A9"/>
    <w:rsid w:val="00084946"/>
    <w:rsid w:val="00087F1A"/>
    <w:rsid w:val="000E4A0E"/>
    <w:rsid w:val="000F43A2"/>
    <w:rsid w:val="00127B77"/>
    <w:rsid w:val="0017165A"/>
    <w:rsid w:val="00186789"/>
    <w:rsid w:val="00186C35"/>
    <w:rsid w:val="001B08EB"/>
    <w:rsid w:val="001B378A"/>
    <w:rsid w:val="001B442E"/>
    <w:rsid w:val="001C19AC"/>
    <w:rsid w:val="001D1D58"/>
    <w:rsid w:val="00217B52"/>
    <w:rsid w:val="00227100"/>
    <w:rsid w:val="00282CB1"/>
    <w:rsid w:val="002862B1"/>
    <w:rsid w:val="00291D77"/>
    <w:rsid w:val="002A42E8"/>
    <w:rsid w:val="002C1894"/>
    <w:rsid w:val="002D5E80"/>
    <w:rsid w:val="002E056B"/>
    <w:rsid w:val="002E5669"/>
    <w:rsid w:val="002F0142"/>
    <w:rsid w:val="00320AFF"/>
    <w:rsid w:val="0032491E"/>
    <w:rsid w:val="00344B7D"/>
    <w:rsid w:val="00360F8E"/>
    <w:rsid w:val="00361002"/>
    <w:rsid w:val="00377D3C"/>
    <w:rsid w:val="003A0EDB"/>
    <w:rsid w:val="003C5175"/>
    <w:rsid w:val="003D7BDC"/>
    <w:rsid w:val="003F0668"/>
    <w:rsid w:val="00401574"/>
    <w:rsid w:val="004561F4"/>
    <w:rsid w:val="00486D7F"/>
    <w:rsid w:val="004A44A4"/>
    <w:rsid w:val="004E4D3B"/>
    <w:rsid w:val="005054DF"/>
    <w:rsid w:val="0053389F"/>
    <w:rsid w:val="005459A3"/>
    <w:rsid w:val="0056277B"/>
    <w:rsid w:val="005A0661"/>
    <w:rsid w:val="0060429C"/>
    <w:rsid w:val="00632F78"/>
    <w:rsid w:val="0064611B"/>
    <w:rsid w:val="006A1204"/>
    <w:rsid w:val="006A4FB0"/>
    <w:rsid w:val="006C08A4"/>
    <w:rsid w:val="006D0EA6"/>
    <w:rsid w:val="006F2799"/>
    <w:rsid w:val="007132D9"/>
    <w:rsid w:val="007464B6"/>
    <w:rsid w:val="00752446"/>
    <w:rsid w:val="00775106"/>
    <w:rsid w:val="00793407"/>
    <w:rsid w:val="007C48F8"/>
    <w:rsid w:val="007F116C"/>
    <w:rsid w:val="007F67FE"/>
    <w:rsid w:val="00844188"/>
    <w:rsid w:val="00855E79"/>
    <w:rsid w:val="00863EF8"/>
    <w:rsid w:val="00871031"/>
    <w:rsid w:val="00877F08"/>
    <w:rsid w:val="008D1F68"/>
    <w:rsid w:val="008E2CF4"/>
    <w:rsid w:val="008F2663"/>
    <w:rsid w:val="008F57CF"/>
    <w:rsid w:val="00925486"/>
    <w:rsid w:val="00946E95"/>
    <w:rsid w:val="009C1386"/>
    <w:rsid w:val="009D21AD"/>
    <w:rsid w:val="00A2274B"/>
    <w:rsid w:val="00A37DE7"/>
    <w:rsid w:val="00A647A1"/>
    <w:rsid w:val="00A719E9"/>
    <w:rsid w:val="00A80938"/>
    <w:rsid w:val="00A94CB0"/>
    <w:rsid w:val="00AC71C6"/>
    <w:rsid w:val="00AC73DD"/>
    <w:rsid w:val="00B10304"/>
    <w:rsid w:val="00B15797"/>
    <w:rsid w:val="00B2442B"/>
    <w:rsid w:val="00B35EB5"/>
    <w:rsid w:val="00B70261"/>
    <w:rsid w:val="00B82260"/>
    <w:rsid w:val="00B921B1"/>
    <w:rsid w:val="00BA14F3"/>
    <w:rsid w:val="00BB1F54"/>
    <w:rsid w:val="00BC51C4"/>
    <w:rsid w:val="00BD19DD"/>
    <w:rsid w:val="00C07A7F"/>
    <w:rsid w:val="00C11CD5"/>
    <w:rsid w:val="00C33797"/>
    <w:rsid w:val="00C5754A"/>
    <w:rsid w:val="00C5797B"/>
    <w:rsid w:val="00C66854"/>
    <w:rsid w:val="00C834C3"/>
    <w:rsid w:val="00C9143B"/>
    <w:rsid w:val="00C96D72"/>
    <w:rsid w:val="00C97970"/>
    <w:rsid w:val="00CC04DE"/>
    <w:rsid w:val="00CC4078"/>
    <w:rsid w:val="00CD56C8"/>
    <w:rsid w:val="00D71371"/>
    <w:rsid w:val="00D80D76"/>
    <w:rsid w:val="00DF4634"/>
    <w:rsid w:val="00E3667C"/>
    <w:rsid w:val="00E5782D"/>
    <w:rsid w:val="00E7393B"/>
    <w:rsid w:val="00E91F01"/>
    <w:rsid w:val="00F11DEE"/>
    <w:rsid w:val="00F3039E"/>
    <w:rsid w:val="00F33242"/>
    <w:rsid w:val="00F345A0"/>
    <w:rsid w:val="00F7189B"/>
    <w:rsid w:val="00F74296"/>
    <w:rsid w:val="00F768A8"/>
    <w:rsid w:val="00F85DF9"/>
    <w:rsid w:val="00FC7916"/>
    <w:rsid w:val="00FF3BF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2957"/>
  <w15:docId w15:val="{22BE4270-B76B-451A-B738-C13338DD7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link w:val="PrrafodelistaCar"/>
    <w:uiPriority w:val="34"/>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Textonotaalfinal">
    <w:name w:val="endnote text"/>
    <w:basedOn w:val="Normal"/>
    <w:link w:val="TextonotaalfinalCar"/>
    <w:uiPriority w:val="99"/>
    <w:semiHidden/>
    <w:unhideWhenUsed/>
    <w:rsid w:val="00B244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2442B"/>
    <w:rPr>
      <w:sz w:val="20"/>
      <w:szCs w:val="20"/>
    </w:rPr>
  </w:style>
  <w:style w:type="character" w:styleId="Refdenotaalfinal">
    <w:name w:val="endnote reference"/>
    <w:basedOn w:val="Fuentedeprrafopredeter"/>
    <w:uiPriority w:val="99"/>
    <w:semiHidden/>
    <w:unhideWhenUsed/>
    <w:rsid w:val="00B2442B"/>
    <w:rPr>
      <w:vertAlign w:val="superscript"/>
    </w:rPr>
  </w:style>
  <w:style w:type="paragraph" w:styleId="Encabezado">
    <w:name w:val="header"/>
    <w:basedOn w:val="Normal"/>
    <w:link w:val="EncabezadoCar"/>
    <w:uiPriority w:val="99"/>
    <w:unhideWhenUsed/>
    <w:rsid w:val="00B244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2442B"/>
  </w:style>
  <w:style w:type="paragraph" w:styleId="Piedepgina">
    <w:name w:val="footer"/>
    <w:basedOn w:val="Normal"/>
    <w:link w:val="PiedepginaCar"/>
    <w:uiPriority w:val="99"/>
    <w:unhideWhenUsed/>
    <w:rsid w:val="00B2442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2442B"/>
  </w:style>
  <w:style w:type="table" w:styleId="Tablaconcuadrcula">
    <w:name w:val="Table Grid"/>
    <w:basedOn w:val="Tablanormal"/>
    <w:uiPriority w:val="39"/>
    <w:rsid w:val="006A1204"/>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6A1204"/>
  </w:style>
  <w:style w:type="table" w:customStyle="1" w:styleId="Tablaconcuadrcula1">
    <w:name w:val="Tabla con cuadrícula1"/>
    <w:basedOn w:val="Tablanormal"/>
    <w:next w:val="Tablaconcuadrcula"/>
    <w:uiPriority w:val="59"/>
    <w:rsid w:val="006A1204"/>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tributaria/html/index.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t.gob.cl/portal/1626/w3-article-1186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33C9BE0-7DA7-4057-9324-527FC0B6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7537</Words>
  <Characters>41457</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Cristobal Labarca Agurto</dc:creator>
  <cp:lastModifiedBy>Jose Francisco Poblete Galleguillos</cp:lastModifiedBy>
  <cp:revision>4</cp:revision>
  <dcterms:created xsi:type="dcterms:W3CDTF">2020-05-12T19:02:00Z</dcterms:created>
  <dcterms:modified xsi:type="dcterms:W3CDTF">2020-05-12T19:06:00Z</dcterms:modified>
</cp:coreProperties>
</file>