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6708DB28"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A87AC1">
        <w:rPr>
          <w:rFonts w:ascii="gobCL" w:hAnsi="gobCL"/>
          <w:sz w:val="36"/>
        </w:rPr>
        <w:t>MAGALLANES Y ANTÁRTICA CHILENA</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Mipes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y autocontrataciones.</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188DEEFF" w14:textId="0BCB14FD" w:rsidR="006A64DA" w:rsidRPr="003F3281" w:rsidRDefault="006A64DA" w:rsidP="00522E75">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Carpeta tributaria para solicitar créditos, disponible en </w:t>
      </w:r>
      <w:hyperlink r:id="rId11" w:history="1">
        <w:r w:rsidRPr="003F3281">
          <w:rPr>
            <w:rStyle w:val="Hipervnculo"/>
            <w:rFonts w:ascii="gobCL" w:hAnsi="gobCL" w:cs="Arial"/>
          </w:rPr>
          <w:t>www.sii.cl</w:t>
        </w:r>
      </w:hyperlink>
      <w:r w:rsidRPr="003F3281">
        <w:rPr>
          <w:rFonts w:ascii="gobCL" w:hAnsi="gobCL" w:cs="Arial"/>
        </w:rPr>
        <w:t>. Se debe poner especial atención en que el documento contenga los formularios 29 del período enero – diciembre 2019</w:t>
      </w:r>
      <w:r w:rsidR="0082269C">
        <w:rPr>
          <w:rFonts w:ascii="gobCL" w:hAnsi="gobCL" w:cs="Arial"/>
        </w:rPr>
        <w:t xml:space="preserve">, </w:t>
      </w:r>
      <w:r w:rsidR="00522E75">
        <w:rPr>
          <w:rFonts w:ascii="gobCL" w:hAnsi="gobCL" w:cs="Arial"/>
        </w:rPr>
        <w:t>salvo p</w:t>
      </w:r>
      <w:r w:rsidR="00522E75" w:rsidRPr="00522E75">
        <w:rPr>
          <w:rFonts w:ascii="gobCL" w:hAnsi="gobCL" w:cs="Arial"/>
        </w:rPr>
        <w:t xml:space="preserve">ara el caso de las empresas que tengan menos de un año de antigüedad de iniciación de actividades, </w:t>
      </w:r>
      <w:r w:rsidR="00522E75">
        <w:rPr>
          <w:rFonts w:ascii="gobCL" w:hAnsi="gobCL" w:cs="Arial"/>
        </w:rPr>
        <w:t>cuyo</w:t>
      </w:r>
      <w:r w:rsidR="00522E75" w:rsidRPr="00522E75">
        <w:rPr>
          <w:rFonts w:ascii="gobCL" w:hAnsi="gobCL" w:cs="Arial"/>
        </w:rPr>
        <w:t xml:space="preserve"> cálculo de ventas se hará a partir del mes de inicio de activid</w:t>
      </w:r>
      <w:r w:rsidR="00AC1970">
        <w:rPr>
          <w:rFonts w:ascii="gobCL" w:hAnsi="gobCL" w:cs="Arial"/>
        </w:rPr>
        <w:t>ades hasta el mes de noviembre</w:t>
      </w:r>
      <w:r w:rsidR="005551D6">
        <w:rPr>
          <w:rFonts w:ascii="gobCL" w:hAnsi="gobCL" w:cs="Arial"/>
        </w:rPr>
        <w:t xml:space="preserve"> de 2019.</w:t>
      </w:r>
    </w:p>
    <w:p w14:paraId="3BA56E39" w14:textId="08F0F791" w:rsidR="000A3D3E" w:rsidRDefault="006A64DA" w:rsidP="000A3D3E">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Comprobante de pago de cotizaciones previsionales de la mutual a la que esté adscrita la empresa (CchC, ACHS, ISL O IST), que acredite el número de trabajadores formales</w:t>
      </w:r>
      <w:r w:rsidR="002E4A1D">
        <w:rPr>
          <w:rFonts w:ascii="gobCL" w:hAnsi="gobCL" w:cs="Arial"/>
        </w:rPr>
        <w:t xml:space="preserve"> con que cuenta la empresa, </w:t>
      </w:r>
      <w:r w:rsidR="009161C7">
        <w:rPr>
          <w:rFonts w:ascii="gobCL" w:hAnsi="gobCL" w:cs="Arial"/>
        </w:rPr>
        <w:t>al</w:t>
      </w:r>
      <w:r w:rsidR="009161C7" w:rsidRPr="003F3281">
        <w:rPr>
          <w:rFonts w:ascii="gobCL" w:hAnsi="gobCL" w:cs="Arial"/>
        </w:rPr>
        <w:t xml:space="preserve"> </w:t>
      </w:r>
      <w:r w:rsidR="00EE2B42" w:rsidRPr="003F3281">
        <w:rPr>
          <w:rFonts w:ascii="gobCL" w:hAnsi="gobCL" w:cs="Arial"/>
        </w:rPr>
        <w:t>mes de octubre de 2019</w:t>
      </w:r>
      <w:r w:rsidR="000A3D3E">
        <w:rPr>
          <w:rFonts w:ascii="gobCL" w:hAnsi="gobCL" w:cs="Arial"/>
        </w:rPr>
        <w:t xml:space="preserve">, disponible en </w:t>
      </w:r>
      <w:r w:rsidR="000A3D3E" w:rsidRPr="000A3D3E">
        <w:t xml:space="preserve"> </w:t>
      </w:r>
      <w:hyperlink r:id="rId12" w:history="1">
        <w:r w:rsidR="000A3D3E" w:rsidRPr="00B174BD">
          <w:rPr>
            <w:rStyle w:val="Hipervnculo"/>
            <w:rFonts w:ascii="gobCL" w:hAnsi="gobCL" w:cs="Arial"/>
          </w:rPr>
          <w:t>https://www.previred.com/web/previred/</w:t>
        </w:r>
      </w:hyperlink>
      <w:r w:rsidR="000A3D3E">
        <w:rPr>
          <w:rFonts w:ascii="gobCL" w:hAnsi="gobCL" w:cs="Arial"/>
        </w:rPr>
        <w:t>.</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2ECE6ACC" w14:textId="77777777" w:rsidR="00A87AC1" w:rsidRPr="003F3281" w:rsidRDefault="00A87AC1" w:rsidP="00A87AC1">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Pr>
          <w:rFonts w:ascii="gobCL" w:hAnsi="gobCL" w:cs="Arial"/>
        </w:rPr>
        <w:t xml:space="preserve">FIDE XII, </w:t>
      </w:r>
      <w:r w:rsidRPr="0013023F">
        <w:rPr>
          <w:rFonts w:ascii="gobCL" w:hAnsi="gobCL" w:cs="Arial"/>
        </w:rPr>
        <w:t>Martínez de Aldunate 1539, Punta Arenas</w:t>
      </w:r>
      <w:r>
        <w:rPr>
          <w:rFonts w:ascii="gobCL" w:hAnsi="gobCL" w:cs="Arial"/>
        </w:rPr>
        <w:t xml:space="preserve">, teléfono </w:t>
      </w:r>
      <w:r w:rsidRPr="0013023F">
        <w:rPr>
          <w:rFonts w:ascii="gobCL" w:hAnsi="gobCL" w:cs="Arial"/>
        </w:rPr>
        <w:t>61-2-248877,</w:t>
      </w:r>
      <w:r>
        <w:rPr>
          <w:rFonts w:ascii="gobCL" w:hAnsi="gobCL" w:cs="Arial"/>
        </w:rPr>
        <w:t xml:space="preserve"> correo electrónico </w:t>
      </w:r>
      <w:r w:rsidRPr="0013023F">
        <w:rPr>
          <w:rFonts w:ascii="gobCL" w:hAnsi="gobCL" w:cs="Arial"/>
        </w:rPr>
        <w:t>informaciones@fidexii.cl.</w:t>
      </w:r>
      <w:r w:rsidRPr="003F3281">
        <w:rPr>
          <w:rFonts w:ascii="gobCL" w:hAnsi="gobCL" w:cs="Arial"/>
        </w:rPr>
        <w:t xml:space="preserve"> Además, pueden recurrir a los Puntos Mipe ubicados en las oficinas regionales de Sercotec, por teléfono, o bien, en forma virtual ingresando a </w:t>
      </w:r>
      <w:hyperlink r:id="rId13" w:history="1">
        <w:r w:rsidRPr="003F3281">
          <w:rPr>
            <w:rStyle w:val="Hipervnculo"/>
            <w:rFonts w:ascii="gobCL" w:hAnsi="gobCL" w:cs="Arial"/>
          </w:rPr>
          <w:t>www.sercotec.cl</w:t>
        </w:r>
      </w:hyperlink>
      <w:r w:rsidRPr="003F3281">
        <w:rPr>
          <w:rFonts w:ascii="gobCL" w:hAnsi="gobCL" w:cs="Arial"/>
        </w:rPr>
        <w:t>.</w:t>
      </w:r>
    </w:p>
    <w:p w14:paraId="4FD6C3F5" w14:textId="77777777" w:rsidR="00EE1D4F" w:rsidRDefault="00EE1D4F" w:rsidP="00411CE7">
      <w:pPr>
        <w:suppressAutoHyphens/>
        <w:autoSpaceDN w:val="0"/>
        <w:spacing w:before="240" w:after="240" w:line="240" w:lineRule="auto"/>
        <w:jc w:val="both"/>
        <w:textAlignment w:val="baseline"/>
        <w:rPr>
          <w:rFonts w:ascii="gobCL" w:hAnsi="gobCL" w:cs="Arial"/>
          <w:b/>
        </w:rPr>
      </w:pPr>
    </w:p>
    <w:p w14:paraId="35503CCD" w14:textId="2DEBF30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7D28703B"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xml:space="preserve">. Si persiste el empate, se seleccionarán a las personas naturales de sexo registral femenino, o la a persona jurídica que esté constituida por al menos el 50% de su capital por socias mujeres y al menos una de sus </w:t>
            </w:r>
            <w:r w:rsidRPr="003F3281">
              <w:rPr>
                <w:rFonts w:ascii="gobCL" w:eastAsia="Arial Unicode MS" w:hAnsi="gobCL" w:cs="Arial"/>
              </w:rPr>
              <w:lastRenderedPageBreak/>
              <w:t>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resciliación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resciliación.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benefciarios/as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5"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de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Sr./a:………………………………………………………………….</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A4CEE" w14:textId="77777777" w:rsidR="00C8020D" w:rsidRDefault="00C8020D" w:rsidP="0053520D">
      <w:pPr>
        <w:spacing w:after="0" w:line="240" w:lineRule="auto"/>
      </w:pPr>
      <w:r>
        <w:separator/>
      </w:r>
    </w:p>
  </w:endnote>
  <w:endnote w:type="continuationSeparator" w:id="0">
    <w:p w14:paraId="6D0CADE1" w14:textId="77777777" w:rsidR="00C8020D" w:rsidRDefault="00C8020D"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1AEAE" w14:textId="77777777" w:rsidR="00C8020D" w:rsidRDefault="00C8020D" w:rsidP="0053520D">
      <w:pPr>
        <w:spacing w:after="0" w:line="240" w:lineRule="auto"/>
      </w:pPr>
      <w:r>
        <w:separator/>
      </w:r>
    </w:p>
  </w:footnote>
  <w:footnote w:type="continuationSeparator" w:id="0">
    <w:p w14:paraId="78726B14" w14:textId="77777777" w:rsidR="00C8020D" w:rsidRDefault="00C8020D"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0DA3"/>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CBF"/>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B7474"/>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6F4F48"/>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80EE6"/>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6FAD"/>
    <w:rsid w:val="00A87AC1"/>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20206"/>
    <w:rsid w:val="00B258D2"/>
    <w:rsid w:val="00B32067"/>
    <w:rsid w:val="00B44D0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0D"/>
    <w:rsid w:val="00C80250"/>
    <w:rsid w:val="00C96D2D"/>
    <w:rsid w:val="00CB3044"/>
    <w:rsid w:val="00CF4C53"/>
    <w:rsid w:val="00CF5B84"/>
    <w:rsid w:val="00D107CD"/>
    <w:rsid w:val="00D17F36"/>
    <w:rsid w:val="00D236D8"/>
    <w:rsid w:val="00D24AAC"/>
    <w:rsid w:val="00D42AF7"/>
    <w:rsid w:val="00D54879"/>
    <w:rsid w:val="00D5730B"/>
    <w:rsid w:val="00D5747F"/>
    <w:rsid w:val="00D66774"/>
    <w:rsid w:val="00D7001D"/>
    <w:rsid w:val="00D740AA"/>
    <w:rsid w:val="00D82C54"/>
    <w:rsid w:val="00DA52B0"/>
    <w:rsid w:val="00DB028B"/>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1D4F"/>
    <w:rsid w:val="00EE2B42"/>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vired.com/web/previr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8D2B-EC01-4CAF-90E9-FF542850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6858</Words>
  <Characters>37720</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2020-01-28T13:09:00Z</dcterms:created>
  <dcterms:modified xsi:type="dcterms:W3CDTF">2020-01-28T15:58:00Z</dcterms:modified>
</cp:coreProperties>
</file>