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A" w:rsidRDefault="00FE4BA8">
      <w:pPr>
        <w:ind w:right="51"/>
        <w:jc w:val="center"/>
        <w:rPr>
          <w:b/>
          <w:u w:val="single"/>
        </w:rPr>
      </w:pPr>
      <w:r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4227830</wp:posOffset>
            </wp:positionH>
            <wp:positionV relativeFrom="paragraph">
              <wp:posOffset>-369569</wp:posOffset>
            </wp:positionV>
            <wp:extent cx="1381125" cy="1381125"/>
            <wp:effectExtent l="0" t="0" r="0" b="0"/>
            <wp:wrapSquare wrapText="bothSides" distT="0" distB="0" distL="114300" distR="114300"/>
            <wp:docPr id="1" name="image1.jpg" descr="Gobierno Regio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obierno Regio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-278129</wp:posOffset>
            </wp:positionH>
            <wp:positionV relativeFrom="paragraph">
              <wp:posOffset>-41909</wp:posOffset>
            </wp:positionV>
            <wp:extent cx="2019300" cy="96901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6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066A" w:rsidRDefault="006C066A">
      <w:pPr>
        <w:rPr>
          <w:b/>
        </w:rPr>
      </w:pPr>
    </w:p>
    <w:p w:rsidR="006C066A" w:rsidRDefault="006C066A">
      <w:pPr>
        <w:rPr>
          <w:b/>
        </w:rPr>
      </w:pPr>
    </w:p>
    <w:p w:rsidR="006C066A" w:rsidRDefault="006C066A">
      <w:pPr>
        <w:jc w:val="center"/>
        <w:rPr>
          <w:b/>
          <w:sz w:val="40"/>
          <w:szCs w:val="40"/>
          <w:u w:val="single"/>
        </w:rPr>
      </w:pPr>
    </w:p>
    <w:p w:rsidR="006C066A" w:rsidRDefault="006C066A">
      <w:pPr>
        <w:jc w:val="center"/>
        <w:rPr>
          <w:b/>
          <w:sz w:val="40"/>
          <w:szCs w:val="40"/>
          <w:u w:val="single"/>
        </w:rPr>
      </w:pPr>
    </w:p>
    <w:p w:rsidR="006C066A" w:rsidRDefault="006C066A">
      <w:pPr>
        <w:jc w:val="center"/>
        <w:rPr>
          <w:b/>
          <w:sz w:val="40"/>
          <w:szCs w:val="40"/>
          <w:u w:val="single"/>
        </w:rPr>
      </w:pPr>
    </w:p>
    <w:p w:rsidR="006C066A" w:rsidRDefault="006C066A">
      <w:pPr>
        <w:jc w:val="center"/>
        <w:rPr>
          <w:b/>
          <w:sz w:val="40"/>
          <w:szCs w:val="40"/>
          <w:u w:val="single"/>
        </w:rPr>
      </w:pPr>
    </w:p>
    <w:p w:rsidR="006C066A" w:rsidRDefault="00FE4BA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MODIFICACIÓN</w:t>
      </w:r>
    </w:p>
    <w:p w:rsidR="006C066A" w:rsidRDefault="00FE4B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BASES DE CONVOCATORIA</w:t>
      </w:r>
    </w:p>
    <w:p w:rsidR="006C066A" w:rsidRDefault="006C066A">
      <w:pPr>
        <w:jc w:val="center"/>
        <w:rPr>
          <w:b/>
        </w:rPr>
      </w:pPr>
    </w:p>
    <w:p w:rsidR="006C066A" w:rsidRDefault="006C066A">
      <w:pPr>
        <w:rPr>
          <w:b/>
        </w:rPr>
      </w:pPr>
    </w:p>
    <w:p w:rsidR="006C066A" w:rsidRDefault="00FE4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ESPECIAL DE FOMENTO PRODUCTIVO</w:t>
      </w:r>
    </w:p>
    <w:p w:rsidR="006C066A" w:rsidRDefault="00FE4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DE EMERGENCIA PRODUCTIVA PROVINCIA DE EL LOA</w:t>
      </w:r>
    </w:p>
    <w:p w:rsidR="006C066A" w:rsidRDefault="006C066A">
      <w:pPr>
        <w:rPr>
          <w:b/>
        </w:rPr>
      </w:pPr>
    </w:p>
    <w:p w:rsidR="006C066A" w:rsidRDefault="006C066A">
      <w:pPr>
        <w:rPr>
          <w:b/>
          <w:sz w:val="36"/>
          <w:szCs w:val="36"/>
        </w:rPr>
      </w:pPr>
    </w:p>
    <w:p w:rsidR="006C066A" w:rsidRDefault="00FE4B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</w:t>
      </w:r>
    </w:p>
    <w:p w:rsidR="006C066A" w:rsidRDefault="006C066A">
      <w:pPr>
        <w:jc w:val="both"/>
        <w:rPr>
          <w:b/>
          <w:sz w:val="40"/>
          <w:szCs w:val="4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0C6F02" w:rsidRDefault="000C6F02">
      <w:pPr>
        <w:jc w:val="both"/>
        <w:rPr>
          <w:color w:val="000000"/>
        </w:rPr>
      </w:pPr>
      <w:bookmarkStart w:id="0" w:name="_GoBack"/>
      <w:bookmarkEnd w:id="0"/>
    </w:p>
    <w:p w:rsidR="006C066A" w:rsidRDefault="006C066A">
      <w:pPr>
        <w:jc w:val="both"/>
        <w:rPr>
          <w:color w:val="000000"/>
        </w:rPr>
      </w:pPr>
    </w:p>
    <w:p w:rsidR="006C066A" w:rsidRDefault="006C066A">
      <w:pPr>
        <w:jc w:val="both"/>
        <w:rPr>
          <w:color w:val="000000"/>
        </w:rPr>
      </w:pPr>
    </w:p>
    <w:p w:rsidR="006C066A" w:rsidRDefault="00FE4BA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Mediante el presente acto y para una correcta ejecución del programa, se modifica el punto 1.6 “¿Qué es posible financiar a través del Programa?” de las Bases del Programa Especial de Fomento Productivo, denominado “Programa de Emergencia Productiva Provin</w:t>
      </w:r>
      <w:r>
        <w:rPr>
          <w:rFonts w:ascii="Arial" w:eastAsia="Arial" w:hAnsi="Arial" w:cs="Arial"/>
          <w:color w:val="000000"/>
          <w:sz w:val="20"/>
          <w:szCs w:val="20"/>
        </w:rPr>
        <w:t>cia de El Loa”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color w:val="000000"/>
          <w:sz w:val="20"/>
          <w:szCs w:val="20"/>
        </w:rPr>
        <w:t>En el siguiente sentido:</w:t>
      </w:r>
    </w:p>
    <w:p w:rsidR="006C066A" w:rsidRDefault="006C066A">
      <w:pPr>
        <w:jc w:val="both"/>
        <w:rPr>
          <w:rFonts w:ascii="Arial" w:eastAsia="Arial" w:hAnsi="Arial" w:cs="Arial"/>
          <w:sz w:val="20"/>
          <w:szCs w:val="20"/>
        </w:rPr>
      </w:pPr>
    </w:p>
    <w:p w:rsidR="006C066A" w:rsidRDefault="006C066A">
      <w:pPr>
        <w:jc w:val="both"/>
        <w:rPr>
          <w:rFonts w:ascii="Arial" w:eastAsia="Arial" w:hAnsi="Arial" w:cs="Arial"/>
          <w:sz w:val="20"/>
          <w:szCs w:val="20"/>
        </w:rPr>
      </w:pPr>
    </w:p>
    <w:p w:rsidR="006C066A" w:rsidRDefault="006C066A">
      <w:pPr>
        <w:jc w:val="both"/>
        <w:rPr>
          <w:rFonts w:ascii="Arial" w:eastAsia="Arial" w:hAnsi="Arial" w:cs="Arial"/>
          <w:sz w:val="20"/>
          <w:szCs w:val="20"/>
        </w:rPr>
      </w:pPr>
    </w:p>
    <w:p w:rsidR="006C066A" w:rsidRDefault="00FE4B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77" w:firstLine="0"/>
        <w:jc w:val="both"/>
        <w:rPr>
          <w:color w:val="252525"/>
          <w:sz w:val="20"/>
          <w:szCs w:val="20"/>
        </w:rPr>
      </w:pPr>
      <w:r>
        <w:rPr>
          <w:rFonts w:ascii="Arial" w:eastAsia="Arial" w:hAnsi="Arial" w:cs="Arial"/>
          <w:b/>
          <w:color w:val="252525"/>
          <w:sz w:val="20"/>
          <w:szCs w:val="20"/>
        </w:rPr>
        <w:t>Activos fijos</w:t>
      </w:r>
      <w:r>
        <w:rPr>
          <w:rFonts w:ascii="Arial" w:eastAsia="Arial" w:hAnsi="Arial" w:cs="Arial"/>
          <w:color w:val="252525"/>
          <w:sz w:val="20"/>
          <w:szCs w:val="20"/>
        </w:rPr>
        <w:t>: corresponde a la adquisición de bienes (activos físicos) necesarios para el negocio que se utilizan directa o indirectamente en el proceso de producción del bien o servicio ofrecido, tales como: máquinas, equipos, herramientas, mobiliario de producción o</w:t>
      </w:r>
      <w:r>
        <w:rPr>
          <w:rFonts w:ascii="Arial" w:eastAsia="Arial" w:hAnsi="Arial" w:cs="Arial"/>
          <w:color w:val="252525"/>
          <w:sz w:val="20"/>
          <w:szCs w:val="20"/>
        </w:rPr>
        <w:t xml:space="preserve"> soporte (por ejemplo, mesones, repisas, tableros, contenedores de recolección de basura y caballete), implementación de elementos tecnológicos (equipos computacionales, balanzas digitales, pesas, u otros similares). Incluye estructuras móviles o desmontab</w:t>
      </w:r>
      <w:r>
        <w:rPr>
          <w:rFonts w:ascii="Arial" w:eastAsia="Arial" w:hAnsi="Arial" w:cs="Arial"/>
          <w:color w:val="252525"/>
          <w:sz w:val="20"/>
          <w:szCs w:val="20"/>
        </w:rPr>
        <w:t>les, tales como, toldos, stands y otros similares. Podrá incluirse en este ítem, los costos por fletes derivados de la adquisición del activo, hasta por un máximo de un 5% del valor neto de éste.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C066A" w:rsidRDefault="00FE4BA8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  <w:r>
        <w:rPr>
          <w:rFonts w:ascii="Arial" w:eastAsia="Arial" w:hAnsi="Arial" w:cs="Arial"/>
          <w:color w:val="252525"/>
          <w:sz w:val="20"/>
          <w:szCs w:val="20"/>
        </w:rPr>
        <w:t>Se excluye la adquisición de bienes propios de alguno de los socios/as, representantes o de sus respectivos cónyuges, conviviente civil, familiares por consanguineidad y afinidad hasta segundo grado inclusive (hijos, padre, madre, hermanos, abuelos y nieto</w:t>
      </w:r>
      <w:r>
        <w:rPr>
          <w:rFonts w:ascii="Arial" w:eastAsia="Arial" w:hAnsi="Arial" w:cs="Arial"/>
          <w:color w:val="252525"/>
          <w:sz w:val="20"/>
          <w:szCs w:val="20"/>
        </w:rPr>
        <w:t>s).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left="180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</w:p>
    <w:p w:rsidR="006C066A" w:rsidRDefault="00FE4BA8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  <w:r>
        <w:rPr>
          <w:rFonts w:ascii="Arial" w:eastAsia="Arial" w:hAnsi="Arial" w:cs="Arial"/>
          <w:color w:val="252525"/>
          <w:sz w:val="20"/>
          <w:szCs w:val="20"/>
        </w:rPr>
        <w:t>Hasta el 100% del monto total del subsidio.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b/>
          <w:color w:val="252525"/>
          <w:sz w:val="20"/>
          <w:szCs w:val="20"/>
        </w:rPr>
      </w:pPr>
    </w:p>
    <w:p w:rsidR="006C066A" w:rsidRDefault="00FE4BA8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b/>
          <w:color w:val="252525"/>
          <w:sz w:val="20"/>
          <w:szCs w:val="20"/>
        </w:rPr>
      </w:pPr>
      <w:r>
        <w:rPr>
          <w:rFonts w:ascii="Arial" w:eastAsia="Arial" w:hAnsi="Arial" w:cs="Arial"/>
          <w:b/>
          <w:color w:val="252525"/>
          <w:sz w:val="20"/>
          <w:szCs w:val="20"/>
        </w:rPr>
        <w:t xml:space="preserve">Debe decir: 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b/>
          <w:color w:val="252525"/>
          <w:sz w:val="20"/>
          <w:szCs w:val="20"/>
        </w:rPr>
      </w:pPr>
    </w:p>
    <w:p w:rsidR="006C066A" w:rsidRDefault="00FE4BA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77" w:firstLine="0"/>
        <w:jc w:val="both"/>
        <w:rPr>
          <w:color w:val="252525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252525"/>
          <w:sz w:val="20"/>
          <w:szCs w:val="20"/>
        </w:rPr>
        <w:t>Activos fijos</w:t>
      </w:r>
      <w:r>
        <w:rPr>
          <w:rFonts w:ascii="Arial" w:eastAsia="Arial" w:hAnsi="Arial" w:cs="Arial"/>
          <w:color w:val="252525"/>
          <w:sz w:val="20"/>
          <w:szCs w:val="20"/>
        </w:rPr>
        <w:t>: corresponde a la adquisición de bienes (activos físicos e intangibles) necesarios para el negocio que se utilizan directa o indirectamente en el proceso de producción del bien o servicio ofrecido, tales como: máquinas, equipos, herramientas, mobiliario d</w:t>
      </w:r>
      <w:r>
        <w:rPr>
          <w:rFonts w:ascii="Arial" w:eastAsia="Arial" w:hAnsi="Arial" w:cs="Arial"/>
          <w:color w:val="252525"/>
          <w:sz w:val="20"/>
          <w:szCs w:val="20"/>
        </w:rPr>
        <w:t>e producción o soporte (por ejemplo, mesones, repisas, tableros, contenedores de recolección de basura y caballete), implementación de elementos tecnológicos (equipos computacionales, software, balanzas digitales, pesas, u otros similares). Incluye estruct</w:t>
      </w:r>
      <w:r>
        <w:rPr>
          <w:rFonts w:ascii="Arial" w:eastAsia="Arial" w:hAnsi="Arial" w:cs="Arial"/>
          <w:color w:val="252525"/>
          <w:sz w:val="20"/>
          <w:szCs w:val="20"/>
        </w:rPr>
        <w:t>uras móviles o desmontables, tales como, toldos, stands y otros similares. Podrá incluirse en este ítem, los costos por fletes derivados de la adquisición del activo, hasta por un máximo de un 5% del valor neto de éste.</w:t>
      </w:r>
    </w:p>
    <w:p w:rsidR="006C066A" w:rsidRDefault="00FE4BA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42" w:right="177" w:hanging="708"/>
        <w:jc w:val="both"/>
        <w:rPr>
          <w:rFonts w:ascii="Arial" w:eastAsia="Arial" w:hAnsi="Arial" w:cs="Arial"/>
          <w:color w:val="252525"/>
          <w:sz w:val="20"/>
          <w:szCs w:val="20"/>
        </w:rPr>
      </w:pPr>
      <w:r>
        <w:rPr>
          <w:rFonts w:ascii="Arial" w:eastAsia="Arial" w:hAnsi="Arial" w:cs="Arial"/>
          <w:color w:val="252525"/>
          <w:sz w:val="20"/>
          <w:szCs w:val="20"/>
        </w:rPr>
        <w:tab/>
      </w:r>
      <w:r>
        <w:rPr>
          <w:rFonts w:ascii="Arial" w:eastAsia="Arial" w:hAnsi="Arial" w:cs="Arial"/>
          <w:color w:val="252525"/>
          <w:sz w:val="20"/>
          <w:szCs w:val="20"/>
        </w:rPr>
        <w:t>Se incluye reparaciones de maquinar</w:t>
      </w:r>
      <w:r>
        <w:rPr>
          <w:rFonts w:ascii="Arial" w:eastAsia="Arial" w:hAnsi="Arial" w:cs="Arial"/>
          <w:color w:val="252525"/>
          <w:sz w:val="20"/>
          <w:szCs w:val="20"/>
        </w:rPr>
        <w:t>ias, equipos o herramientas productivas, compra de repuestos y/o mano de obra calificada para la reparación.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C066A" w:rsidRDefault="00FE4BA8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  <w:r>
        <w:rPr>
          <w:rFonts w:ascii="Arial" w:eastAsia="Arial" w:hAnsi="Arial" w:cs="Arial"/>
          <w:color w:val="252525"/>
          <w:sz w:val="20"/>
          <w:szCs w:val="20"/>
        </w:rPr>
        <w:t>Se excluye la adquisición de bienes propios de alguno de los socios/as, representantes o de sus respectivos cónyuges, conviviente civil, familiares por consanguineidad y afinidad hasta segundo grado inclusive (hijos, padre, madre, hermanos, abuelos y nieto</w:t>
      </w:r>
      <w:r>
        <w:rPr>
          <w:rFonts w:ascii="Arial" w:eastAsia="Arial" w:hAnsi="Arial" w:cs="Arial"/>
          <w:color w:val="252525"/>
          <w:sz w:val="20"/>
          <w:szCs w:val="20"/>
        </w:rPr>
        <w:t>s).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</w:p>
    <w:p w:rsidR="006C066A" w:rsidRDefault="00FE4BA8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  <w:r>
        <w:rPr>
          <w:rFonts w:ascii="Arial" w:eastAsia="Arial" w:hAnsi="Arial" w:cs="Arial"/>
          <w:color w:val="252525"/>
          <w:sz w:val="20"/>
          <w:szCs w:val="20"/>
        </w:rPr>
        <w:t>Hasta el 100% del monto total del subsidio.</w:t>
      </w: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left="142"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</w:p>
    <w:p w:rsidR="006C066A" w:rsidRDefault="006C066A">
      <w:pPr>
        <w:pBdr>
          <w:top w:val="nil"/>
          <w:left w:val="nil"/>
          <w:bottom w:val="nil"/>
          <w:right w:val="nil"/>
          <w:between w:val="nil"/>
        </w:pBdr>
        <w:ind w:right="175"/>
        <w:jc w:val="both"/>
        <w:rPr>
          <w:rFonts w:ascii="Arial" w:eastAsia="Arial" w:hAnsi="Arial" w:cs="Arial"/>
          <w:color w:val="252525"/>
          <w:sz w:val="20"/>
          <w:szCs w:val="20"/>
        </w:rPr>
      </w:pPr>
    </w:p>
    <w:p w:rsidR="006C066A" w:rsidRDefault="006C066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C066A" w:rsidRDefault="00FE4BA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En todo lo no modificado, rigen íntegramente las disposiciones de las Bases de Convocatoria que por el presente acto se modifican.</w:t>
      </w:r>
    </w:p>
    <w:sectPr w:rsidR="006C066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A8" w:rsidRDefault="00FE4BA8">
      <w:r>
        <w:separator/>
      </w:r>
    </w:p>
  </w:endnote>
  <w:endnote w:type="continuationSeparator" w:id="0">
    <w:p w:rsidR="00FE4BA8" w:rsidRDefault="00F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A" w:rsidRDefault="00FE4B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6F02">
      <w:rPr>
        <w:color w:val="000000"/>
      </w:rPr>
      <w:fldChar w:fldCharType="separate"/>
    </w:r>
    <w:r w:rsidR="000C6F02">
      <w:rPr>
        <w:noProof/>
        <w:color w:val="000000"/>
      </w:rPr>
      <w:t>2</w:t>
    </w:r>
    <w:r>
      <w:rPr>
        <w:color w:val="000000"/>
      </w:rPr>
      <w:fldChar w:fldCharType="end"/>
    </w:r>
  </w:p>
  <w:p w:rsidR="006C066A" w:rsidRDefault="00FE4BA8">
    <w:pPr>
      <w:tabs>
        <w:tab w:val="center" w:pos="4252"/>
        <w:tab w:val="right" w:pos="8504"/>
      </w:tabs>
      <w:jc w:val="center"/>
      <w:rPr>
        <w:sz w:val="24"/>
        <w:szCs w:val="24"/>
      </w:rPr>
    </w:pPr>
    <w:r>
      <w:rPr>
        <w:sz w:val="24"/>
        <w:szCs w:val="24"/>
      </w:rPr>
      <w:t>www.sercotec.cl</w:t>
    </w:r>
  </w:p>
  <w:p w:rsidR="006C066A" w:rsidRDefault="006C0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A" w:rsidRDefault="00FE4B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A8" w:rsidRDefault="00FE4BA8">
      <w:r>
        <w:separator/>
      </w:r>
    </w:p>
  </w:footnote>
  <w:footnote w:type="continuationSeparator" w:id="0">
    <w:p w:rsidR="00FE4BA8" w:rsidRDefault="00FE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A" w:rsidRDefault="006C0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066A" w:rsidRDefault="00FE4B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>
          <wp:extent cx="1558540" cy="74816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066A" w:rsidRDefault="006C0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6A" w:rsidRDefault="006C066A">
    <w:pPr>
      <w:pBdr>
        <w:top w:val="nil"/>
        <w:left w:val="nil"/>
        <w:bottom w:val="nil"/>
        <w:right w:val="nil"/>
        <w:between w:val="nil"/>
      </w:pBdr>
      <w:tabs>
        <w:tab w:val="right" w:pos="1247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343"/>
    <w:multiLevelType w:val="multilevel"/>
    <w:tmpl w:val="DDE63A74"/>
    <w:lvl w:ilvl="0">
      <w:start w:val="1"/>
      <w:numFmt w:val="lowerLetter"/>
      <w:lvlText w:val="%1)"/>
      <w:lvlJc w:val="left"/>
      <w:pPr>
        <w:ind w:left="1802" w:hanging="360"/>
      </w:pPr>
    </w:lvl>
    <w:lvl w:ilvl="1">
      <w:start w:val="1"/>
      <w:numFmt w:val="bullet"/>
      <w:lvlText w:val="-"/>
      <w:lvlJc w:val="left"/>
      <w:pPr>
        <w:ind w:left="2162" w:hanging="360"/>
      </w:pPr>
      <w:rPr>
        <w:rFonts w:ascii="Calibri" w:eastAsia="Calibri" w:hAnsi="Calibri" w:cs="Calibri"/>
        <w:b/>
        <w:color w:val="252525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60"/>
      </w:pPr>
    </w:lvl>
    <w:lvl w:ilvl="3">
      <w:start w:val="1"/>
      <w:numFmt w:val="bullet"/>
      <w:lvlText w:val="•"/>
      <w:lvlJc w:val="left"/>
      <w:pPr>
        <w:ind w:left="3924" w:hanging="360"/>
      </w:pPr>
    </w:lvl>
    <w:lvl w:ilvl="4">
      <w:start w:val="1"/>
      <w:numFmt w:val="bullet"/>
      <w:lvlText w:val="•"/>
      <w:lvlJc w:val="left"/>
      <w:pPr>
        <w:ind w:left="4806" w:hanging="360"/>
      </w:pPr>
    </w:lvl>
    <w:lvl w:ilvl="5">
      <w:start w:val="1"/>
      <w:numFmt w:val="bullet"/>
      <w:lvlText w:val="•"/>
      <w:lvlJc w:val="left"/>
      <w:pPr>
        <w:ind w:left="5688" w:hanging="360"/>
      </w:pPr>
    </w:lvl>
    <w:lvl w:ilvl="6">
      <w:start w:val="1"/>
      <w:numFmt w:val="bullet"/>
      <w:lvlText w:val="•"/>
      <w:lvlJc w:val="left"/>
      <w:pPr>
        <w:ind w:left="6571" w:hanging="360"/>
      </w:pPr>
    </w:lvl>
    <w:lvl w:ilvl="7">
      <w:start w:val="1"/>
      <w:numFmt w:val="bullet"/>
      <w:lvlText w:val="•"/>
      <w:lvlJc w:val="left"/>
      <w:pPr>
        <w:ind w:left="7453" w:hanging="360"/>
      </w:pPr>
    </w:lvl>
    <w:lvl w:ilvl="8">
      <w:start w:val="1"/>
      <w:numFmt w:val="bullet"/>
      <w:lvlText w:val="•"/>
      <w:lvlJc w:val="left"/>
      <w:pPr>
        <w:ind w:left="833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6A"/>
    <w:rsid w:val="000C6F02"/>
    <w:rsid w:val="006C066A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F441"/>
  <w15:docId w15:val="{F06AD9C5-072E-419D-98E5-4ABD86FC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bCL" w:eastAsia="gobCL" w:hAnsi="gobCL" w:cs="gobCL"/>
        <w:sz w:val="22"/>
        <w:szCs w:val="22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786" w:hanging="360"/>
      <w:outlineLvl w:val="0"/>
    </w:pPr>
    <w:rPr>
      <w:b/>
      <w:color w:val="FFFFFF"/>
    </w:rPr>
  </w:style>
  <w:style w:type="paragraph" w:styleId="Ttulo2">
    <w:name w:val="heading 2"/>
    <w:basedOn w:val="Normal"/>
    <w:next w:val="Normal"/>
    <w:pPr>
      <w:keepNext/>
      <w:spacing w:before="240" w:after="60"/>
      <w:ind w:left="720" w:hanging="36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ind w:left="2832" w:firstLine="708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b/>
      <w:color w:val="FFFFFF"/>
    </w:rPr>
  </w:style>
  <w:style w:type="paragraph" w:styleId="Subttulo">
    <w:name w:val="Subtitle"/>
    <w:basedOn w:val="Normal"/>
    <w:next w:val="Normal"/>
    <w:pPr>
      <w:widowControl w:val="0"/>
      <w:jc w:val="both"/>
    </w:pPr>
    <w:rPr>
      <w:rFonts w:ascii="Book Antiqua" w:eastAsia="Book Antiqua" w:hAnsi="Book Antiqua" w:cs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Carreño Guzmán</cp:lastModifiedBy>
  <cp:revision>2</cp:revision>
  <dcterms:created xsi:type="dcterms:W3CDTF">2019-11-19T14:05:00Z</dcterms:created>
  <dcterms:modified xsi:type="dcterms:W3CDTF">2019-11-19T14:05:00Z</dcterms:modified>
</cp:coreProperties>
</file>